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EF8529" w14:textId="77777777" w:rsidR="009943A0" w:rsidRPr="007D75CF" w:rsidRDefault="009943A0" w:rsidP="007D75CF">
      <w:pPr>
        <w:spacing w:line="360" w:lineRule="auto"/>
        <w:jc w:val="center"/>
        <w:rPr>
          <w:rFonts w:ascii="Arial" w:hAnsi="Arial" w:cs="Arial"/>
          <w:b/>
          <w:sz w:val="36"/>
          <w:szCs w:val="36"/>
        </w:rPr>
      </w:pPr>
      <w:r w:rsidRPr="007D75CF">
        <w:rPr>
          <w:rFonts w:ascii="Arial" w:hAnsi="Arial" w:cs="Arial"/>
          <w:b/>
          <w:sz w:val="36"/>
          <w:szCs w:val="36"/>
        </w:rPr>
        <w:t>Case Law and Article 41.2 of Bunreacht na hEireann</w:t>
      </w:r>
    </w:p>
    <w:p w14:paraId="50D42C24" w14:textId="01734847" w:rsidR="009943A0" w:rsidRPr="001B0150" w:rsidRDefault="003965EC" w:rsidP="007D75CF">
      <w:pPr>
        <w:spacing w:line="360" w:lineRule="auto"/>
        <w:jc w:val="both"/>
        <w:rPr>
          <w:rFonts w:ascii="Arial" w:hAnsi="Arial" w:cs="Arial"/>
          <w:b/>
          <w:i/>
        </w:rPr>
      </w:pPr>
      <w:r w:rsidRPr="001B0150">
        <w:rPr>
          <w:rFonts w:ascii="Arial" w:hAnsi="Arial" w:cs="Arial"/>
          <w:b/>
          <w:i/>
        </w:rPr>
        <w:t>I had initially created this document as a small part of my research sco</w:t>
      </w:r>
      <w:r w:rsidR="001B0150">
        <w:rPr>
          <w:rFonts w:ascii="Arial" w:hAnsi="Arial" w:cs="Arial"/>
          <w:b/>
          <w:i/>
        </w:rPr>
        <w:t>ping for my feminist judgment of</w:t>
      </w:r>
      <w:r w:rsidRPr="001B0150">
        <w:rPr>
          <w:rFonts w:ascii="Arial" w:hAnsi="Arial" w:cs="Arial"/>
          <w:b/>
          <w:i/>
        </w:rPr>
        <w:t xml:space="preserve"> MhicMathuna v Ireland </w:t>
      </w:r>
      <w:r w:rsidR="001B0150">
        <w:rPr>
          <w:rFonts w:ascii="Arial" w:hAnsi="Arial" w:cs="Arial"/>
          <w:b/>
          <w:i/>
        </w:rPr>
        <w:t xml:space="preserve">(open access version </w:t>
      </w:r>
      <w:hyperlink r:id="rId7" w:history="1">
        <w:r w:rsidR="001B0150" w:rsidRPr="001B0150">
          <w:rPr>
            <w:rStyle w:val="Hyperlink"/>
            <w:rFonts w:ascii="Arial" w:hAnsi="Arial" w:cs="Arial"/>
            <w:b/>
            <w:i/>
          </w:rPr>
          <w:t>here</w:t>
        </w:r>
      </w:hyperlink>
      <w:r w:rsidR="001B0150">
        <w:rPr>
          <w:rFonts w:ascii="Arial" w:hAnsi="Arial" w:cs="Arial"/>
          <w:b/>
          <w:i/>
        </w:rPr>
        <w:t xml:space="preserve">) </w:t>
      </w:r>
      <w:r w:rsidRPr="001B0150">
        <w:rPr>
          <w:rFonts w:ascii="Arial" w:hAnsi="Arial" w:cs="Arial"/>
          <w:b/>
          <w:i/>
        </w:rPr>
        <w:t>in Julie Candless, Mairead Enright and Aoife O’Donoghue</w:t>
      </w:r>
      <w:r w:rsidR="001B0150">
        <w:rPr>
          <w:rFonts w:ascii="Arial" w:hAnsi="Arial" w:cs="Arial"/>
          <w:b/>
          <w:i/>
        </w:rPr>
        <w:t xml:space="preserve">, </w:t>
      </w:r>
      <w:hyperlink r:id="rId8" w:history="1">
        <w:r w:rsidR="001B0150" w:rsidRPr="001B0150">
          <w:rPr>
            <w:rStyle w:val="Hyperlink"/>
            <w:rFonts w:ascii="Arial" w:hAnsi="Arial" w:cs="Arial"/>
            <w:b/>
            <w:i/>
          </w:rPr>
          <w:t>Northern/Irish Feminist Judgments: Judges Troubles and the Gendered Politics of Identity</w:t>
        </w:r>
      </w:hyperlink>
      <w:r w:rsidR="001B0150">
        <w:rPr>
          <w:rFonts w:ascii="Arial" w:hAnsi="Arial" w:cs="Arial"/>
          <w:b/>
          <w:i/>
        </w:rPr>
        <w:t xml:space="preserve"> (Bloomsbury, 2017). The document is now updated to 11 July 2018. Apologies if there are any errors or omissions (do let me know and I will update!)</w:t>
      </w:r>
    </w:p>
    <w:p w14:paraId="76AE4E65" w14:textId="77777777" w:rsidR="009943A0" w:rsidRPr="007D75CF" w:rsidRDefault="009943A0" w:rsidP="007D75CF">
      <w:pPr>
        <w:spacing w:line="360" w:lineRule="auto"/>
        <w:jc w:val="both"/>
        <w:rPr>
          <w:rFonts w:ascii="Arial" w:hAnsi="Arial" w:cs="Arial"/>
          <w:b/>
        </w:rPr>
      </w:pPr>
    </w:p>
    <w:p w14:paraId="1802796C" w14:textId="77777777" w:rsidR="00AD2B40" w:rsidRPr="007D75CF" w:rsidRDefault="002E54FD" w:rsidP="007D75CF">
      <w:pPr>
        <w:spacing w:line="360" w:lineRule="auto"/>
        <w:jc w:val="center"/>
        <w:rPr>
          <w:rFonts w:ascii="Arial" w:hAnsi="Arial" w:cs="Arial"/>
          <w:b/>
          <w:sz w:val="32"/>
          <w:szCs w:val="32"/>
        </w:rPr>
      </w:pPr>
      <w:r w:rsidRPr="007D75CF">
        <w:rPr>
          <w:rFonts w:ascii="Arial" w:hAnsi="Arial" w:cs="Arial"/>
          <w:b/>
          <w:sz w:val="32"/>
          <w:szCs w:val="32"/>
        </w:rPr>
        <w:t>Article 41.</w:t>
      </w:r>
      <w:r w:rsidR="00EB47B2" w:rsidRPr="007D75CF">
        <w:rPr>
          <w:rFonts w:ascii="Arial" w:hAnsi="Arial" w:cs="Arial"/>
          <w:b/>
          <w:sz w:val="32"/>
          <w:szCs w:val="32"/>
        </w:rPr>
        <w:t xml:space="preserve"> 2</w:t>
      </w:r>
    </w:p>
    <w:p w14:paraId="31F8DA1C" w14:textId="77777777" w:rsidR="00AD2B40" w:rsidRPr="007D75CF" w:rsidRDefault="00AD2B40" w:rsidP="007D75CF">
      <w:pPr>
        <w:spacing w:line="360" w:lineRule="auto"/>
        <w:jc w:val="both"/>
        <w:rPr>
          <w:rFonts w:ascii="Arial" w:hAnsi="Arial" w:cs="Arial"/>
        </w:rPr>
      </w:pPr>
    </w:p>
    <w:p w14:paraId="32D42EA7" w14:textId="45DD1256" w:rsidR="00AD2B40" w:rsidRPr="007D75CF" w:rsidRDefault="00EB47B2" w:rsidP="007D75CF">
      <w:pPr>
        <w:spacing w:line="360" w:lineRule="auto"/>
        <w:jc w:val="both"/>
        <w:rPr>
          <w:rFonts w:ascii="Arial" w:hAnsi="Arial" w:cs="Arial"/>
        </w:rPr>
      </w:pPr>
      <w:r w:rsidRPr="007D75CF">
        <w:rPr>
          <w:rFonts w:ascii="Arial" w:hAnsi="Arial" w:cs="Arial"/>
        </w:rPr>
        <w:t>1°</w:t>
      </w:r>
      <w:r w:rsidR="00AD2B40" w:rsidRPr="007D75CF">
        <w:rPr>
          <w:rFonts w:ascii="Arial" w:hAnsi="Arial" w:cs="Arial"/>
        </w:rPr>
        <w:t xml:space="preserve"> In particular, the State recognises that by her life within the home, woman gives to the State a support without which the common good cannot be achieved.</w:t>
      </w:r>
    </w:p>
    <w:p w14:paraId="110E8547" w14:textId="77777777" w:rsidR="00AD2B40" w:rsidRPr="007D75CF" w:rsidRDefault="00AD2B40" w:rsidP="007D75CF">
      <w:pPr>
        <w:spacing w:line="360" w:lineRule="auto"/>
        <w:jc w:val="both"/>
        <w:rPr>
          <w:rFonts w:ascii="Arial" w:hAnsi="Arial" w:cs="Arial"/>
        </w:rPr>
      </w:pPr>
    </w:p>
    <w:p w14:paraId="751BA8A4" w14:textId="77777777" w:rsidR="009943A0" w:rsidRPr="007D75CF" w:rsidRDefault="00AD2B40" w:rsidP="007D75CF">
      <w:pPr>
        <w:spacing w:line="360" w:lineRule="auto"/>
        <w:jc w:val="both"/>
        <w:rPr>
          <w:rFonts w:ascii="Arial" w:hAnsi="Arial" w:cs="Arial"/>
        </w:rPr>
      </w:pPr>
      <w:r w:rsidRPr="007D75CF">
        <w:rPr>
          <w:rFonts w:ascii="Arial" w:hAnsi="Arial" w:cs="Arial"/>
        </w:rPr>
        <w:t>2° The State shall, therefore, endeavour to ensure that mothers shall not be obliged by economic necessity to engage in labour to the neglect of their duties in the home.</w:t>
      </w:r>
    </w:p>
    <w:p w14:paraId="41219018" w14:textId="77777777" w:rsidR="009943A0" w:rsidRPr="007D75CF" w:rsidRDefault="009943A0" w:rsidP="007D75CF">
      <w:pPr>
        <w:spacing w:line="360" w:lineRule="auto"/>
        <w:jc w:val="both"/>
        <w:rPr>
          <w:rFonts w:ascii="Arial" w:hAnsi="Arial" w:cs="Arial"/>
        </w:rPr>
      </w:pPr>
    </w:p>
    <w:p w14:paraId="3FA1AD94" w14:textId="77777777" w:rsidR="009943A0" w:rsidRPr="007D75CF" w:rsidRDefault="009943A0" w:rsidP="007D75CF">
      <w:pPr>
        <w:spacing w:line="360" w:lineRule="auto"/>
        <w:jc w:val="both"/>
        <w:rPr>
          <w:rFonts w:ascii="Arial" w:hAnsi="Arial" w:cs="Arial"/>
        </w:rPr>
      </w:pPr>
    </w:p>
    <w:p w14:paraId="1C7BB3F1" w14:textId="3E76174C" w:rsidR="0030248F" w:rsidRPr="007D75CF" w:rsidRDefault="0030248F" w:rsidP="007D75CF">
      <w:pPr>
        <w:spacing w:line="360" w:lineRule="auto"/>
        <w:jc w:val="center"/>
        <w:rPr>
          <w:rFonts w:ascii="Arial" w:hAnsi="Arial" w:cs="Arial"/>
          <w:b/>
          <w:sz w:val="32"/>
          <w:szCs w:val="32"/>
        </w:rPr>
      </w:pPr>
      <w:r w:rsidRPr="007D75CF">
        <w:rPr>
          <w:rFonts w:ascii="Arial" w:hAnsi="Arial" w:cs="Arial"/>
          <w:b/>
          <w:sz w:val="32"/>
          <w:szCs w:val="32"/>
        </w:rPr>
        <w:t>Law and Equality</w:t>
      </w:r>
    </w:p>
    <w:p w14:paraId="53688677" w14:textId="6BFB647C" w:rsidR="0030248F" w:rsidRPr="007D75CF" w:rsidRDefault="0030248F" w:rsidP="007D75CF">
      <w:pPr>
        <w:spacing w:line="360" w:lineRule="auto"/>
        <w:jc w:val="both"/>
        <w:rPr>
          <w:rFonts w:ascii="Arial" w:hAnsi="Arial" w:cs="Arial"/>
          <w:b/>
        </w:rPr>
      </w:pPr>
    </w:p>
    <w:p w14:paraId="264AE069" w14:textId="4402C7D6" w:rsidR="0030248F" w:rsidRPr="007D75CF" w:rsidRDefault="0030248F" w:rsidP="007D75CF">
      <w:pPr>
        <w:pStyle w:val="ListParagraph"/>
        <w:numPr>
          <w:ilvl w:val="0"/>
          <w:numId w:val="2"/>
        </w:numPr>
        <w:spacing w:line="360" w:lineRule="auto"/>
        <w:jc w:val="both"/>
        <w:rPr>
          <w:rFonts w:ascii="Arial" w:hAnsi="Arial" w:cs="Arial"/>
          <w:b/>
        </w:rPr>
      </w:pPr>
      <w:r w:rsidRPr="007D75CF">
        <w:rPr>
          <w:rFonts w:ascii="Arial" w:hAnsi="Arial" w:cs="Arial"/>
          <w:b/>
          <w:i/>
        </w:rPr>
        <w:t>de Burca v. Attorney General</w:t>
      </w:r>
      <w:r w:rsidRPr="007D75CF">
        <w:rPr>
          <w:rFonts w:ascii="Arial" w:hAnsi="Arial" w:cs="Arial"/>
          <w:b/>
        </w:rPr>
        <w:t xml:space="preserve">  [1976] I.R. 38 (women on juries)</w:t>
      </w:r>
    </w:p>
    <w:p w14:paraId="739946B9" w14:textId="5A3B1520" w:rsidR="0030248F" w:rsidRPr="007D75CF" w:rsidRDefault="0030248F" w:rsidP="007D75CF">
      <w:pPr>
        <w:spacing w:line="360" w:lineRule="auto"/>
        <w:jc w:val="both"/>
        <w:rPr>
          <w:rFonts w:ascii="Arial" w:hAnsi="Arial" w:cs="Arial"/>
        </w:rPr>
      </w:pPr>
    </w:p>
    <w:p w14:paraId="17AABBE5" w14:textId="3AE82FC5" w:rsidR="0030248F" w:rsidRPr="007D75CF" w:rsidRDefault="0030248F" w:rsidP="007D75CF">
      <w:pPr>
        <w:spacing w:line="360" w:lineRule="auto"/>
        <w:jc w:val="both"/>
        <w:rPr>
          <w:rFonts w:ascii="Arial" w:hAnsi="Arial" w:cs="Arial"/>
        </w:rPr>
      </w:pPr>
      <w:r w:rsidRPr="007D75CF">
        <w:rPr>
          <w:rFonts w:ascii="Arial" w:hAnsi="Arial" w:cs="Arial"/>
        </w:rPr>
        <w:t xml:space="preserve">At. p. 61, O’Higgins CJ </w:t>
      </w:r>
      <w:r w:rsidR="007D75CF" w:rsidRPr="007D75CF">
        <w:rPr>
          <w:rFonts w:ascii="Arial" w:hAnsi="Arial" w:cs="Arial"/>
        </w:rPr>
        <w:t xml:space="preserve">(dissenting) attempted to utilise Article 41.2 in justifying the near exclusion of women from juries. </w:t>
      </w:r>
    </w:p>
    <w:p w14:paraId="1DE2E24B" w14:textId="77777777" w:rsidR="0030248F" w:rsidRPr="007D75CF" w:rsidRDefault="0030248F" w:rsidP="007D75CF">
      <w:pPr>
        <w:spacing w:line="360" w:lineRule="auto"/>
        <w:jc w:val="both"/>
        <w:rPr>
          <w:rFonts w:ascii="Arial" w:hAnsi="Arial" w:cs="Arial"/>
        </w:rPr>
      </w:pPr>
    </w:p>
    <w:p w14:paraId="4BECB5D7" w14:textId="0AA8980A" w:rsidR="0030248F" w:rsidRPr="007D75CF" w:rsidRDefault="0030248F" w:rsidP="007D75CF">
      <w:pPr>
        <w:spacing w:line="360" w:lineRule="auto"/>
        <w:ind w:left="720"/>
        <w:jc w:val="both"/>
        <w:rPr>
          <w:rFonts w:ascii="Arial" w:hAnsi="Arial" w:cs="Arial"/>
          <w:color w:val="000000"/>
          <w:shd w:val="clear" w:color="auto" w:fill="FFFFFF"/>
        </w:rPr>
      </w:pPr>
      <w:r w:rsidRPr="007D75CF">
        <w:rPr>
          <w:rFonts w:ascii="Arial" w:hAnsi="Arial" w:cs="Arial"/>
        </w:rPr>
        <w:t>“</w:t>
      </w:r>
      <w:r w:rsidRPr="007D75CF">
        <w:rPr>
          <w:rFonts w:ascii="Arial" w:hAnsi="Arial" w:cs="Arial"/>
          <w:color w:val="000000"/>
          <w:shd w:val="clear" w:color="auto" w:fill="FFFFFF"/>
        </w:rPr>
        <w:t>When one considers the special recognition of women and mothers in Article 41 of our Constitution, it does not appear inappropriate that the State in its laws should give some preference to woman . . ."</w:t>
      </w:r>
    </w:p>
    <w:p w14:paraId="00DD5ED3" w14:textId="478B780E" w:rsidR="0030248F" w:rsidRPr="007D75CF" w:rsidRDefault="0030248F" w:rsidP="007D75CF">
      <w:pPr>
        <w:spacing w:line="360" w:lineRule="auto"/>
        <w:jc w:val="both"/>
        <w:rPr>
          <w:rFonts w:ascii="Arial" w:hAnsi="Arial" w:cs="Arial"/>
          <w:color w:val="000000"/>
          <w:shd w:val="clear" w:color="auto" w:fill="FFFFFF"/>
        </w:rPr>
      </w:pPr>
    </w:p>
    <w:p w14:paraId="2842BB98" w14:textId="77777777" w:rsidR="0030248F" w:rsidRPr="007D75CF" w:rsidRDefault="0030248F" w:rsidP="007D75CF">
      <w:pPr>
        <w:spacing w:line="360" w:lineRule="auto"/>
        <w:jc w:val="both"/>
        <w:rPr>
          <w:rFonts w:ascii="Arial" w:hAnsi="Arial" w:cs="Arial"/>
          <w:color w:val="000000"/>
          <w:shd w:val="clear" w:color="auto" w:fill="FFFFFF"/>
        </w:rPr>
      </w:pPr>
      <w:r w:rsidRPr="007D75CF">
        <w:rPr>
          <w:rFonts w:ascii="Arial" w:hAnsi="Arial" w:cs="Arial"/>
          <w:color w:val="000000"/>
          <w:shd w:val="clear" w:color="auto" w:fill="FFFFFF"/>
        </w:rPr>
        <w:t xml:space="preserve">Walsh J. in this case stated (at p. 70), </w:t>
      </w:r>
    </w:p>
    <w:p w14:paraId="22862D39" w14:textId="77777777" w:rsidR="0030248F" w:rsidRPr="007D75CF" w:rsidRDefault="0030248F" w:rsidP="007D75CF">
      <w:pPr>
        <w:spacing w:line="360" w:lineRule="auto"/>
        <w:jc w:val="both"/>
        <w:rPr>
          <w:rFonts w:ascii="Arial" w:hAnsi="Arial" w:cs="Arial"/>
          <w:color w:val="000000"/>
          <w:shd w:val="clear" w:color="auto" w:fill="FFFFFF"/>
        </w:rPr>
      </w:pPr>
    </w:p>
    <w:p w14:paraId="70A66F78" w14:textId="787D6D02" w:rsidR="006F2698" w:rsidRPr="007D75CF" w:rsidRDefault="0030248F" w:rsidP="007D75CF">
      <w:pPr>
        <w:spacing w:line="360" w:lineRule="auto"/>
        <w:ind w:left="720"/>
        <w:jc w:val="both"/>
        <w:rPr>
          <w:rFonts w:ascii="Arial" w:hAnsi="Arial" w:cs="Arial"/>
          <w:color w:val="000000"/>
          <w:shd w:val="clear" w:color="auto" w:fill="FFFFFF"/>
        </w:rPr>
      </w:pPr>
      <w:r w:rsidRPr="007D75CF">
        <w:rPr>
          <w:rFonts w:ascii="Arial" w:hAnsi="Arial" w:cs="Arial"/>
          <w:color w:val="000000"/>
          <w:shd w:val="clear" w:color="auto" w:fill="FFFFFF"/>
        </w:rPr>
        <w:t xml:space="preserve">“It is undoubtedly true that the Constitution, in dealing with the family, draws attention to and stresses the importance of women's life within the home and </w:t>
      </w:r>
      <w:r w:rsidRPr="007D75CF">
        <w:rPr>
          <w:rFonts w:ascii="Arial" w:hAnsi="Arial" w:cs="Arial"/>
          <w:color w:val="000000"/>
          <w:shd w:val="clear" w:color="auto" w:fill="FFFFFF"/>
        </w:rPr>
        <w:lastRenderedPageBreak/>
        <w:t>makes special provision for the economic protection of mothers who have home duties . . ."</w:t>
      </w:r>
    </w:p>
    <w:p w14:paraId="7ECBDAC3" w14:textId="6D94608D" w:rsidR="007D75CF" w:rsidRPr="007D75CF" w:rsidRDefault="007D75CF" w:rsidP="007D75CF">
      <w:pPr>
        <w:spacing w:line="360" w:lineRule="auto"/>
        <w:jc w:val="both"/>
        <w:rPr>
          <w:rFonts w:ascii="Arial" w:hAnsi="Arial" w:cs="Arial"/>
          <w:color w:val="000000"/>
          <w:shd w:val="clear" w:color="auto" w:fill="FFFFFF"/>
        </w:rPr>
      </w:pPr>
    </w:p>
    <w:p w14:paraId="7048E8D9" w14:textId="6DED90FB" w:rsidR="007D75CF" w:rsidRPr="007D75CF" w:rsidRDefault="007D75CF" w:rsidP="007D75CF">
      <w:pPr>
        <w:spacing w:line="360" w:lineRule="auto"/>
        <w:jc w:val="both"/>
        <w:rPr>
          <w:rFonts w:ascii="Arial" w:hAnsi="Arial" w:cs="Arial"/>
          <w:color w:val="000000"/>
          <w:shd w:val="clear" w:color="auto" w:fill="FFFFFF"/>
        </w:rPr>
      </w:pPr>
      <w:r w:rsidRPr="007D75CF">
        <w:rPr>
          <w:rFonts w:ascii="Arial" w:hAnsi="Arial" w:cs="Arial"/>
          <w:color w:val="000000"/>
          <w:shd w:val="clear" w:color="auto" w:fill="FFFFFF"/>
        </w:rPr>
        <w:t xml:space="preserve">However, Walsh J. noted that women are present in all facets of professional life, and this Article cannot justify invidious discrimination against women. </w:t>
      </w:r>
    </w:p>
    <w:p w14:paraId="354B9DC3" w14:textId="30F00221" w:rsidR="006F2698" w:rsidRPr="007D75CF" w:rsidRDefault="006F2698" w:rsidP="007D75CF">
      <w:pPr>
        <w:spacing w:line="360" w:lineRule="auto"/>
        <w:jc w:val="both"/>
        <w:rPr>
          <w:rFonts w:ascii="Arial" w:hAnsi="Arial" w:cs="Arial"/>
          <w:color w:val="000000"/>
          <w:shd w:val="clear" w:color="auto" w:fill="FFFFFF"/>
        </w:rPr>
      </w:pPr>
    </w:p>
    <w:p w14:paraId="581413CC" w14:textId="34FCED9D" w:rsidR="006269B3" w:rsidRDefault="00BF4DF1" w:rsidP="007D75CF">
      <w:pPr>
        <w:pStyle w:val="ListParagraph"/>
        <w:numPr>
          <w:ilvl w:val="0"/>
          <w:numId w:val="2"/>
        </w:numPr>
        <w:spacing w:line="360" w:lineRule="auto"/>
        <w:jc w:val="both"/>
        <w:rPr>
          <w:rFonts w:ascii="Arial" w:hAnsi="Arial" w:cs="Arial"/>
          <w:b/>
          <w:color w:val="000000"/>
          <w:shd w:val="clear" w:color="auto" w:fill="FFFFFF"/>
        </w:rPr>
      </w:pPr>
      <w:r w:rsidRPr="00BF4DF1">
        <w:rPr>
          <w:rFonts w:ascii="Arial" w:hAnsi="Arial" w:cs="Arial"/>
          <w:b/>
          <w:i/>
          <w:color w:val="000000"/>
          <w:shd w:val="clear" w:color="auto" w:fill="FFFFFF"/>
        </w:rPr>
        <w:t>T’OG v Attorney General</w:t>
      </w:r>
      <w:r>
        <w:rPr>
          <w:rFonts w:ascii="Arial" w:hAnsi="Arial" w:cs="Arial"/>
          <w:b/>
          <w:color w:val="000000"/>
          <w:shd w:val="clear" w:color="auto" w:fill="FFFFFF"/>
        </w:rPr>
        <w:t xml:space="preserve"> [1985] I.L.R.M. 61 (adoption, discrimination, widowers)</w:t>
      </w:r>
    </w:p>
    <w:p w14:paraId="743024A0" w14:textId="1B5DF2CE" w:rsidR="00BF4DF1" w:rsidRDefault="00BF4DF1" w:rsidP="00BF4DF1">
      <w:pPr>
        <w:spacing w:line="360" w:lineRule="auto"/>
        <w:jc w:val="both"/>
        <w:rPr>
          <w:rFonts w:ascii="Arial" w:hAnsi="Arial" w:cs="Arial"/>
          <w:b/>
          <w:color w:val="000000"/>
          <w:shd w:val="clear" w:color="auto" w:fill="FFFFFF"/>
        </w:rPr>
      </w:pPr>
    </w:p>
    <w:p w14:paraId="7E388BD2" w14:textId="0E50DBD5" w:rsidR="00BF4DF1" w:rsidRPr="00BF4DF1" w:rsidRDefault="00BF4DF1" w:rsidP="00BF4DF1">
      <w:pPr>
        <w:spacing w:line="360" w:lineRule="auto"/>
        <w:jc w:val="both"/>
        <w:rPr>
          <w:rFonts w:ascii="Arial" w:hAnsi="Arial" w:cs="Arial"/>
          <w:color w:val="000000"/>
          <w:shd w:val="clear" w:color="auto" w:fill="FFFFFF"/>
        </w:rPr>
      </w:pPr>
      <w:r w:rsidRPr="00BF4DF1">
        <w:rPr>
          <w:rFonts w:ascii="Arial" w:hAnsi="Arial" w:cs="Arial"/>
          <w:color w:val="000000"/>
          <w:shd w:val="clear" w:color="auto" w:fill="FFFFFF"/>
        </w:rPr>
        <w:t>The Attorney General attempted to argue that the differences in laws between widows adopting children and a widower adopting children could be justified under Article 41.2.1. McMahon J. (at p. 65) rejected this argument, noting,</w:t>
      </w:r>
    </w:p>
    <w:p w14:paraId="4F0E411C" w14:textId="70E4BAFE" w:rsidR="00BF4DF1" w:rsidRPr="00BF4DF1" w:rsidRDefault="00BF4DF1" w:rsidP="00BF4DF1">
      <w:pPr>
        <w:spacing w:line="360" w:lineRule="auto"/>
        <w:jc w:val="both"/>
        <w:rPr>
          <w:rFonts w:ascii="Arial" w:hAnsi="Arial" w:cs="Arial"/>
          <w:color w:val="000000"/>
          <w:shd w:val="clear" w:color="auto" w:fill="FFFFFF"/>
        </w:rPr>
      </w:pPr>
    </w:p>
    <w:p w14:paraId="11E68ABA" w14:textId="5325CCFD" w:rsidR="00BF4DF1" w:rsidRPr="00BF4DF1" w:rsidRDefault="00BF4DF1" w:rsidP="00BF4DF1">
      <w:pPr>
        <w:spacing w:line="360" w:lineRule="auto"/>
        <w:ind w:left="360"/>
        <w:jc w:val="both"/>
        <w:rPr>
          <w:rFonts w:ascii="Arial" w:hAnsi="Arial" w:cs="Arial"/>
          <w:color w:val="000000"/>
          <w:shd w:val="clear" w:color="auto" w:fill="FFFFFF"/>
        </w:rPr>
      </w:pPr>
      <w:r w:rsidRPr="00BF4DF1">
        <w:rPr>
          <w:rFonts w:ascii="Arial" w:hAnsi="Arial" w:cs="Arial"/>
          <w:color w:val="000000"/>
          <w:shd w:val="clear" w:color="auto" w:fill="FFFFFF"/>
        </w:rPr>
        <w:t>“The article recognises the social value of a mother's services in the home but that does not involve a denial of the capacity of widowers as a class to be considered on their merits as suitable adopters.”</w:t>
      </w:r>
    </w:p>
    <w:p w14:paraId="6C35F733" w14:textId="77777777" w:rsidR="00BF4DF1" w:rsidRPr="00BF4DF1" w:rsidRDefault="00BF4DF1" w:rsidP="00BF4DF1">
      <w:pPr>
        <w:spacing w:line="360" w:lineRule="auto"/>
        <w:jc w:val="both"/>
        <w:rPr>
          <w:rFonts w:ascii="Arial" w:hAnsi="Arial" w:cs="Arial"/>
          <w:b/>
          <w:color w:val="000000"/>
          <w:shd w:val="clear" w:color="auto" w:fill="FFFFFF"/>
        </w:rPr>
      </w:pPr>
    </w:p>
    <w:p w14:paraId="028E7FFD" w14:textId="3AB1F516" w:rsidR="006F2698" w:rsidRPr="007D75CF" w:rsidRDefault="006F2698" w:rsidP="007D75CF">
      <w:pPr>
        <w:pStyle w:val="ListParagraph"/>
        <w:numPr>
          <w:ilvl w:val="0"/>
          <w:numId w:val="2"/>
        </w:numPr>
        <w:spacing w:line="360" w:lineRule="auto"/>
        <w:jc w:val="both"/>
        <w:rPr>
          <w:rFonts w:ascii="Arial" w:hAnsi="Arial" w:cs="Arial"/>
          <w:b/>
          <w:color w:val="000000"/>
          <w:shd w:val="clear" w:color="auto" w:fill="FFFFFF"/>
        </w:rPr>
      </w:pPr>
      <w:r w:rsidRPr="007D75CF">
        <w:rPr>
          <w:rFonts w:ascii="Arial" w:hAnsi="Arial" w:cs="Arial"/>
          <w:b/>
          <w:i/>
          <w:color w:val="000000"/>
          <w:shd w:val="clear" w:color="auto" w:fill="FFFFFF"/>
        </w:rPr>
        <w:t>McKinley v The Minister for Defence</w:t>
      </w:r>
      <w:r w:rsidRPr="007D75CF">
        <w:rPr>
          <w:rFonts w:ascii="Arial" w:hAnsi="Arial" w:cs="Arial"/>
          <w:b/>
          <w:color w:val="000000"/>
          <w:shd w:val="clear" w:color="auto" w:fill="FFFFFF"/>
        </w:rPr>
        <w:t xml:space="preserve"> [1992] 2 I.R. 333 (loss of consortium for wife)</w:t>
      </w:r>
    </w:p>
    <w:p w14:paraId="1809D3C2" w14:textId="4C0D7592" w:rsidR="006F2698" w:rsidRPr="007D75CF" w:rsidRDefault="006F2698" w:rsidP="007D75CF">
      <w:pPr>
        <w:spacing w:line="360" w:lineRule="auto"/>
        <w:jc w:val="both"/>
        <w:rPr>
          <w:rFonts w:ascii="Arial" w:hAnsi="Arial" w:cs="Arial"/>
          <w:color w:val="000000"/>
          <w:shd w:val="clear" w:color="auto" w:fill="FFFFFF"/>
        </w:rPr>
      </w:pPr>
    </w:p>
    <w:p w14:paraId="3B642F71" w14:textId="474AD0B4" w:rsidR="006F2698" w:rsidRPr="007D75CF" w:rsidRDefault="006F2698" w:rsidP="007D75CF">
      <w:pPr>
        <w:spacing w:line="360" w:lineRule="auto"/>
        <w:jc w:val="both"/>
        <w:rPr>
          <w:rFonts w:ascii="Arial" w:hAnsi="Arial" w:cs="Arial"/>
          <w:color w:val="000000"/>
          <w:shd w:val="clear" w:color="auto" w:fill="FFFFFF"/>
        </w:rPr>
      </w:pPr>
      <w:r w:rsidRPr="007D75CF">
        <w:rPr>
          <w:rFonts w:ascii="Arial" w:hAnsi="Arial" w:cs="Arial"/>
          <w:color w:val="000000"/>
          <w:shd w:val="clear" w:color="auto" w:fill="FFFFFF"/>
        </w:rPr>
        <w:t>The majority of the Supreme Court extended the loss of consortium damages grounds to a wife. Hederman J. relied in part of Article 41.2.1, in stating:</w:t>
      </w:r>
    </w:p>
    <w:p w14:paraId="1C3576B7" w14:textId="4A17FE7B" w:rsidR="006F2698" w:rsidRPr="007D75CF" w:rsidRDefault="006F2698" w:rsidP="007D75CF">
      <w:pPr>
        <w:spacing w:line="360" w:lineRule="auto"/>
        <w:jc w:val="both"/>
        <w:rPr>
          <w:rFonts w:ascii="Arial" w:hAnsi="Arial" w:cs="Arial"/>
          <w:color w:val="000000"/>
          <w:shd w:val="clear" w:color="auto" w:fill="FFFFFF"/>
        </w:rPr>
      </w:pPr>
    </w:p>
    <w:p w14:paraId="0BC71210" w14:textId="095B55C3" w:rsidR="006F2698" w:rsidRPr="007D75CF" w:rsidRDefault="006F2698" w:rsidP="007D75CF">
      <w:pPr>
        <w:spacing w:line="360" w:lineRule="auto"/>
        <w:ind w:left="720"/>
        <w:jc w:val="both"/>
        <w:rPr>
          <w:rFonts w:ascii="Arial" w:hAnsi="Arial" w:cs="Arial"/>
        </w:rPr>
      </w:pPr>
      <w:r w:rsidRPr="007D75CF">
        <w:rPr>
          <w:rFonts w:ascii="Arial" w:hAnsi="Arial" w:cs="Arial"/>
          <w:color w:val="000000"/>
          <w:shd w:val="clear" w:color="auto" w:fill="FFFFFF"/>
        </w:rPr>
        <w:t>“While Article 40 of the Constitution ensures that all persons shall be equal before the law, Article 41 underlines the particular status which is attached to marriage. That status attaches to the woman by virtue of Article 41, s. 2, perhaps even to a greater extent than it attaches to the man. This case, therefore is not based on a question of a discrimination in favour of men pre-dating the Constitution but rather, in my view, it is based on the status which the Constitution gave to marriage and to married women in particular. It seems clear to me that Articles 40 and 41 should be construed in accordance with the statement contained in the Preamble to the Constitution that the People gave to themselves the Constitution in order that amongst other objectives "the dignity and freedom of the individual might be assured.”</w:t>
      </w:r>
    </w:p>
    <w:p w14:paraId="158A90C6" w14:textId="77777777" w:rsidR="006F2698" w:rsidRPr="007D75CF" w:rsidRDefault="006F2698" w:rsidP="007D75CF">
      <w:pPr>
        <w:spacing w:line="360" w:lineRule="auto"/>
        <w:jc w:val="both"/>
        <w:rPr>
          <w:rFonts w:ascii="Arial" w:hAnsi="Arial" w:cs="Arial"/>
        </w:rPr>
      </w:pPr>
    </w:p>
    <w:p w14:paraId="27A65873" w14:textId="25F2AC21" w:rsidR="0030248F" w:rsidRPr="007D75CF" w:rsidRDefault="0030248F" w:rsidP="007D75CF">
      <w:pPr>
        <w:spacing w:line="360" w:lineRule="auto"/>
        <w:jc w:val="both"/>
        <w:rPr>
          <w:rFonts w:ascii="Arial" w:hAnsi="Arial" w:cs="Arial"/>
        </w:rPr>
      </w:pPr>
    </w:p>
    <w:p w14:paraId="7A8345C7" w14:textId="77777777" w:rsidR="0030248F" w:rsidRPr="007D75CF" w:rsidRDefault="0030248F" w:rsidP="007D75CF">
      <w:pPr>
        <w:spacing w:line="360" w:lineRule="auto"/>
        <w:jc w:val="both"/>
        <w:rPr>
          <w:rFonts w:ascii="Arial" w:hAnsi="Arial" w:cs="Arial"/>
          <w:b/>
        </w:rPr>
      </w:pPr>
    </w:p>
    <w:p w14:paraId="6BD0A5D0" w14:textId="77777777" w:rsidR="0030248F" w:rsidRPr="007D75CF" w:rsidRDefault="0030248F" w:rsidP="007D75CF">
      <w:pPr>
        <w:spacing w:line="360" w:lineRule="auto"/>
        <w:jc w:val="both"/>
        <w:rPr>
          <w:rFonts w:ascii="Arial" w:hAnsi="Arial" w:cs="Arial"/>
          <w:b/>
        </w:rPr>
      </w:pPr>
    </w:p>
    <w:p w14:paraId="388CDDD5" w14:textId="1918E9DE" w:rsidR="00C15BCF" w:rsidRPr="007D75CF" w:rsidRDefault="00C15BCF" w:rsidP="007D75CF">
      <w:pPr>
        <w:spacing w:line="360" w:lineRule="auto"/>
        <w:jc w:val="center"/>
        <w:rPr>
          <w:rFonts w:ascii="Arial" w:hAnsi="Arial" w:cs="Arial"/>
          <w:b/>
          <w:sz w:val="32"/>
          <w:szCs w:val="32"/>
        </w:rPr>
      </w:pPr>
      <w:r w:rsidRPr="007D75CF">
        <w:rPr>
          <w:rFonts w:ascii="Arial" w:hAnsi="Arial" w:cs="Arial"/>
          <w:b/>
          <w:sz w:val="32"/>
          <w:szCs w:val="32"/>
        </w:rPr>
        <w:t>Law and Marriage</w:t>
      </w:r>
    </w:p>
    <w:p w14:paraId="0F2710C5" w14:textId="77777777" w:rsidR="00C15BCF" w:rsidRPr="007D75CF" w:rsidRDefault="00C15BCF" w:rsidP="007D75CF">
      <w:pPr>
        <w:spacing w:line="360" w:lineRule="auto"/>
        <w:jc w:val="both"/>
        <w:rPr>
          <w:rFonts w:ascii="Arial" w:hAnsi="Arial" w:cs="Arial"/>
        </w:rPr>
      </w:pPr>
    </w:p>
    <w:p w14:paraId="68BB079E" w14:textId="15CF52D2" w:rsidR="00C15BCF" w:rsidRPr="007D75CF" w:rsidRDefault="00C15BCF" w:rsidP="007D75CF">
      <w:pPr>
        <w:pStyle w:val="ListParagraph"/>
        <w:numPr>
          <w:ilvl w:val="0"/>
          <w:numId w:val="3"/>
        </w:numPr>
        <w:spacing w:line="360" w:lineRule="auto"/>
        <w:jc w:val="both"/>
        <w:rPr>
          <w:rFonts w:ascii="Arial" w:hAnsi="Arial" w:cs="Arial"/>
          <w:b/>
        </w:rPr>
      </w:pPr>
      <w:r w:rsidRPr="007D75CF">
        <w:rPr>
          <w:rFonts w:ascii="Arial" w:hAnsi="Arial" w:cs="Arial"/>
          <w:b/>
          <w:i/>
        </w:rPr>
        <w:t>H.A.H. v. S.A.A, and The Attorney General and S.A.H.</w:t>
      </w:r>
      <w:r w:rsidRPr="007D75CF">
        <w:rPr>
          <w:rFonts w:ascii="Arial" w:hAnsi="Arial" w:cs="Arial"/>
          <w:b/>
        </w:rPr>
        <w:t>(Notice Parties) [2017] 1 I.R. 372 (polygamous marriage and public policy):</w:t>
      </w:r>
    </w:p>
    <w:p w14:paraId="6A201F1F" w14:textId="77777777" w:rsidR="00C15BCF" w:rsidRPr="007D75CF" w:rsidRDefault="00C15BCF" w:rsidP="007D75CF">
      <w:pPr>
        <w:spacing w:line="360" w:lineRule="auto"/>
        <w:jc w:val="both"/>
        <w:rPr>
          <w:rFonts w:ascii="Arial" w:hAnsi="Arial" w:cs="Arial"/>
        </w:rPr>
      </w:pPr>
    </w:p>
    <w:p w14:paraId="6D56E996" w14:textId="01F4477B" w:rsidR="00C15BCF" w:rsidRPr="007D75CF" w:rsidRDefault="00C15BCF" w:rsidP="007D75CF">
      <w:pPr>
        <w:spacing w:line="360" w:lineRule="auto"/>
        <w:jc w:val="both"/>
        <w:rPr>
          <w:rFonts w:ascii="Arial" w:hAnsi="Arial" w:cs="Arial"/>
        </w:rPr>
      </w:pPr>
      <w:r w:rsidRPr="007D75CF">
        <w:rPr>
          <w:rFonts w:ascii="Arial" w:hAnsi="Arial" w:cs="Arial"/>
        </w:rPr>
        <w:t xml:space="preserve">Article 41.2 simply included within the Court setting down the totality of the provisions of Article 41. No real engagement with issues under Article 41.2. </w:t>
      </w:r>
    </w:p>
    <w:p w14:paraId="1366DB41" w14:textId="6BF60E7A" w:rsidR="006460EA" w:rsidRPr="007D75CF" w:rsidRDefault="006460EA" w:rsidP="007D75CF">
      <w:pPr>
        <w:spacing w:line="360" w:lineRule="auto"/>
        <w:jc w:val="both"/>
        <w:rPr>
          <w:rFonts w:ascii="Arial" w:hAnsi="Arial" w:cs="Arial"/>
        </w:rPr>
      </w:pPr>
    </w:p>
    <w:p w14:paraId="59964233" w14:textId="30289906" w:rsidR="006460EA" w:rsidRPr="007D75CF" w:rsidRDefault="006460EA" w:rsidP="007D75CF">
      <w:pPr>
        <w:pStyle w:val="ListParagraph"/>
        <w:numPr>
          <w:ilvl w:val="0"/>
          <w:numId w:val="3"/>
        </w:numPr>
        <w:spacing w:line="360" w:lineRule="auto"/>
        <w:jc w:val="both"/>
        <w:rPr>
          <w:rFonts w:ascii="Arial" w:hAnsi="Arial" w:cs="Arial"/>
          <w:b/>
        </w:rPr>
      </w:pPr>
      <w:r w:rsidRPr="007D75CF">
        <w:rPr>
          <w:rFonts w:ascii="Arial" w:hAnsi="Arial" w:cs="Arial"/>
          <w:b/>
          <w:i/>
        </w:rPr>
        <w:t xml:space="preserve">Zappone and Gilligan v </w:t>
      </w:r>
      <w:r w:rsidR="004317C8" w:rsidRPr="007D75CF">
        <w:rPr>
          <w:rFonts w:ascii="Arial" w:hAnsi="Arial" w:cs="Arial"/>
          <w:b/>
          <w:i/>
        </w:rPr>
        <w:t>Revenue Commissioners, Ireland and the Attorney General</w:t>
      </w:r>
      <w:r w:rsidR="004317C8" w:rsidRPr="007D75CF">
        <w:rPr>
          <w:rFonts w:ascii="Arial" w:hAnsi="Arial" w:cs="Arial"/>
          <w:b/>
        </w:rPr>
        <w:t xml:space="preserve"> [2008] 2 I.R. 417 (recognition of same-sex foreign marriage).</w:t>
      </w:r>
    </w:p>
    <w:p w14:paraId="3A4C0CF7" w14:textId="56D97198" w:rsidR="009943A0" w:rsidRPr="007D75CF" w:rsidRDefault="009943A0" w:rsidP="007D75CF">
      <w:pPr>
        <w:spacing w:line="360" w:lineRule="auto"/>
        <w:jc w:val="both"/>
        <w:rPr>
          <w:rFonts w:ascii="Arial" w:hAnsi="Arial" w:cs="Arial"/>
        </w:rPr>
      </w:pPr>
    </w:p>
    <w:p w14:paraId="4938652E" w14:textId="138E7E17" w:rsidR="004317C8" w:rsidRPr="007D75CF" w:rsidRDefault="004317C8" w:rsidP="007D75CF">
      <w:pPr>
        <w:spacing w:line="360" w:lineRule="auto"/>
        <w:jc w:val="both"/>
        <w:rPr>
          <w:rFonts w:ascii="Arial" w:hAnsi="Arial" w:cs="Arial"/>
        </w:rPr>
      </w:pPr>
      <w:r w:rsidRPr="007D75CF">
        <w:rPr>
          <w:rFonts w:ascii="Arial" w:hAnsi="Arial" w:cs="Arial"/>
        </w:rPr>
        <w:t xml:space="preserve">Article 41.2 simply included within the Court setting down the totality of the provisions of Article 41. No real engagement with issues under Article 41.2. </w:t>
      </w:r>
    </w:p>
    <w:p w14:paraId="5C87ECCE" w14:textId="65947A5E" w:rsidR="004317C8" w:rsidRPr="007D75CF" w:rsidRDefault="004317C8" w:rsidP="007D75CF">
      <w:pPr>
        <w:spacing w:line="360" w:lineRule="auto"/>
        <w:jc w:val="both"/>
        <w:rPr>
          <w:rFonts w:ascii="Arial" w:hAnsi="Arial" w:cs="Arial"/>
        </w:rPr>
      </w:pPr>
    </w:p>
    <w:p w14:paraId="0C2758B2" w14:textId="483318F2" w:rsidR="004317C8" w:rsidRPr="007D75CF" w:rsidRDefault="004317C8" w:rsidP="007D75CF">
      <w:pPr>
        <w:pStyle w:val="ListParagraph"/>
        <w:numPr>
          <w:ilvl w:val="0"/>
          <w:numId w:val="3"/>
        </w:numPr>
        <w:spacing w:line="360" w:lineRule="auto"/>
        <w:jc w:val="both"/>
        <w:rPr>
          <w:rFonts w:ascii="Arial" w:hAnsi="Arial" w:cs="Arial"/>
          <w:b/>
        </w:rPr>
      </w:pPr>
      <w:r w:rsidRPr="007D75CF">
        <w:rPr>
          <w:rFonts w:ascii="Arial" w:hAnsi="Arial" w:cs="Arial"/>
          <w:b/>
          <w:i/>
        </w:rPr>
        <w:t>A.F. v. S.F.</w:t>
      </w:r>
      <w:r w:rsidRPr="007D75CF">
        <w:rPr>
          <w:rFonts w:ascii="Arial" w:hAnsi="Arial" w:cs="Arial"/>
          <w:b/>
        </w:rPr>
        <w:t xml:space="preserve"> [2007] 4 I.R. 326 (agreement to marry, maintenance for non-marital child).</w:t>
      </w:r>
    </w:p>
    <w:p w14:paraId="4EBDAE88" w14:textId="5DDD7DFB" w:rsidR="004317C8" w:rsidRPr="007D75CF" w:rsidRDefault="004317C8" w:rsidP="007D75CF">
      <w:pPr>
        <w:spacing w:line="360" w:lineRule="auto"/>
        <w:jc w:val="both"/>
        <w:rPr>
          <w:rFonts w:ascii="Arial" w:hAnsi="Arial" w:cs="Arial"/>
        </w:rPr>
      </w:pPr>
    </w:p>
    <w:p w14:paraId="1536F993" w14:textId="51673716" w:rsidR="004317C8" w:rsidRPr="007D75CF" w:rsidRDefault="004317C8" w:rsidP="007D75CF">
      <w:pPr>
        <w:spacing w:line="360" w:lineRule="auto"/>
        <w:jc w:val="both"/>
        <w:rPr>
          <w:rFonts w:ascii="Arial" w:hAnsi="Arial" w:cs="Arial"/>
        </w:rPr>
      </w:pPr>
      <w:r w:rsidRPr="007D75CF">
        <w:rPr>
          <w:rFonts w:ascii="Arial" w:hAnsi="Arial" w:cs="Arial"/>
        </w:rPr>
        <w:t xml:space="preserve">Abbot J. stated (at p.330) that Article 41.2. does not necessarily exclude those of non-marital families, </w:t>
      </w:r>
    </w:p>
    <w:p w14:paraId="7FB93642" w14:textId="7F63780F" w:rsidR="004317C8" w:rsidRPr="007D75CF" w:rsidRDefault="004317C8" w:rsidP="007D75CF">
      <w:pPr>
        <w:spacing w:line="360" w:lineRule="auto"/>
        <w:jc w:val="both"/>
        <w:rPr>
          <w:rFonts w:ascii="Arial" w:hAnsi="Arial" w:cs="Arial"/>
        </w:rPr>
      </w:pPr>
    </w:p>
    <w:p w14:paraId="27B3C92B" w14:textId="77777777" w:rsidR="007D75CF" w:rsidRDefault="004317C8" w:rsidP="007D75CF">
      <w:pPr>
        <w:spacing w:line="360" w:lineRule="auto"/>
        <w:ind w:left="720"/>
        <w:jc w:val="both"/>
        <w:rPr>
          <w:rFonts w:ascii="Arial" w:hAnsi="Arial" w:cs="Arial"/>
          <w:color w:val="000000"/>
          <w:shd w:val="clear" w:color="auto" w:fill="FFFFFF"/>
        </w:rPr>
      </w:pPr>
      <w:r w:rsidRPr="007D75CF">
        <w:rPr>
          <w:rFonts w:ascii="Arial" w:hAnsi="Arial" w:cs="Arial"/>
        </w:rPr>
        <w:t>“</w:t>
      </w:r>
      <w:r w:rsidRPr="007D75CF">
        <w:rPr>
          <w:rFonts w:ascii="Arial" w:hAnsi="Arial" w:cs="Arial"/>
          <w:color w:val="000000"/>
          <w:shd w:val="clear" w:color="auto" w:fill="FFFFFF"/>
        </w:rPr>
        <w:t xml:space="preserve">the role of the woman in the home and the mother is not described with reference to the family and it is arguable that Article 41.2 applies to a woman or mother in the home, whether that child is a marital child or not.” </w:t>
      </w:r>
    </w:p>
    <w:p w14:paraId="2CFE8E79" w14:textId="77777777" w:rsidR="007D75CF" w:rsidRDefault="007D75CF" w:rsidP="007D75CF">
      <w:pPr>
        <w:spacing w:line="360" w:lineRule="auto"/>
        <w:jc w:val="both"/>
        <w:rPr>
          <w:rFonts w:ascii="Arial" w:hAnsi="Arial" w:cs="Arial"/>
          <w:color w:val="000000"/>
          <w:shd w:val="clear" w:color="auto" w:fill="FFFFFF"/>
        </w:rPr>
      </w:pPr>
    </w:p>
    <w:p w14:paraId="2A9E4FAD" w14:textId="373951A9" w:rsidR="004317C8" w:rsidRPr="007D75CF" w:rsidRDefault="004317C8" w:rsidP="007D75CF">
      <w:pPr>
        <w:spacing w:line="360" w:lineRule="auto"/>
        <w:jc w:val="both"/>
        <w:rPr>
          <w:rFonts w:ascii="Arial" w:hAnsi="Arial" w:cs="Arial"/>
          <w:color w:val="000000"/>
          <w:shd w:val="clear" w:color="auto" w:fill="FFFFFF"/>
        </w:rPr>
      </w:pPr>
      <w:r w:rsidRPr="007D75CF">
        <w:rPr>
          <w:rFonts w:ascii="Arial" w:hAnsi="Arial" w:cs="Arial"/>
          <w:color w:val="000000"/>
          <w:shd w:val="clear" w:color="auto" w:fill="FFFFFF"/>
        </w:rPr>
        <w:t>At p.332, Abbot J. stated,</w:t>
      </w:r>
    </w:p>
    <w:p w14:paraId="35E7286E" w14:textId="3536216D" w:rsidR="004317C8" w:rsidRPr="007D75CF" w:rsidRDefault="004317C8" w:rsidP="007D75CF">
      <w:pPr>
        <w:pStyle w:val="NormalWeb"/>
        <w:shd w:val="clear" w:color="auto" w:fill="FFFFFF"/>
        <w:spacing w:before="0" w:beforeAutospacing="0" w:after="0" w:afterAutospacing="0" w:line="360" w:lineRule="auto"/>
        <w:jc w:val="both"/>
        <w:rPr>
          <w:rFonts w:ascii="Arial" w:hAnsi="Arial" w:cs="Arial"/>
          <w:color w:val="000000"/>
          <w:shd w:val="clear" w:color="auto" w:fill="FFFFFF"/>
        </w:rPr>
      </w:pPr>
    </w:p>
    <w:p w14:paraId="7224D154" w14:textId="6F81BBAD" w:rsidR="004317C8" w:rsidRPr="007D75CF" w:rsidRDefault="004317C8" w:rsidP="007D75CF">
      <w:pPr>
        <w:pStyle w:val="NormalWeb"/>
        <w:shd w:val="clear" w:color="auto" w:fill="FFFFFF"/>
        <w:spacing w:before="0" w:beforeAutospacing="0" w:after="0" w:afterAutospacing="0" w:line="360" w:lineRule="auto"/>
        <w:ind w:left="720"/>
        <w:jc w:val="both"/>
        <w:rPr>
          <w:rFonts w:ascii="Arial" w:hAnsi="Arial" w:cs="Arial"/>
          <w:color w:val="000000"/>
        </w:rPr>
      </w:pPr>
      <w:r w:rsidRPr="007D75CF">
        <w:rPr>
          <w:rFonts w:ascii="Arial" w:hAnsi="Arial" w:cs="Arial"/>
          <w:color w:val="000000"/>
          <w:shd w:val="clear" w:color="auto" w:fill="FFFFFF"/>
        </w:rPr>
        <w:t>“</w:t>
      </w:r>
      <w:r w:rsidRPr="007D75CF">
        <w:rPr>
          <w:rFonts w:ascii="Arial" w:hAnsi="Arial" w:cs="Arial"/>
          <w:color w:val="000000"/>
        </w:rPr>
        <w:t xml:space="preserve">the constitutional principles regarding the guarantees for marriage and the marital family are to be tempered by the need to ensure that non-marital </w:t>
      </w:r>
      <w:r w:rsidRPr="007D75CF">
        <w:rPr>
          <w:rFonts w:ascii="Arial" w:hAnsi="Arial" w:cs="Arial"/>
          <w:color w:val="000000"/>
        </w:rPr>
        <w:lastRenderedPageBreak/>
        <w:t>children are nurtured without diminishing the guarantees for marriage and the marital family.”</w:t>
      </w:r>
    </w:p>
    <w:p w14:paraId="5F09D142" w14:textId="16ADC318" w:rsidR="004317C8" w:rsidRPr="007D75CF" w:rsidRDefault="004317C8" w:rsidP="007D75CF">
      <w:pPr>
        <w:pStyle w:val="NormalWeb"/>
        <w:shd w:val="clear" w:color="auto" w:fill="FFFFFF"/>
        <w:spacing w:before="0" w:beforeAutospacing="0" w:after="0" w:afterAutospacing="0" w:line="360" w:lineRule="auto"/>
        <w:jc w:val="both"/>
        <w:rPr>
          <w:rFonts w:ascii="Arial" w:hAnsi="Arial" w:cs="Arial"/>
          <w:color w:val="000000"/>
        </w:rPr>
      </w:pPr>
    </w:p>
    <w:p w14:paraId="23223BB3" w14:textId="411A48C0" w:rsidR="004317C8" w:rsidRPr="007D75CF" w:rsidRDefault="004317C8" w:rsidP="007D75CF">
      <w:pPr>
        <w:pStyle w:val="NormalWeb"/>
        <w:numPr>
          <w:ilvl w:val="0"/>
          <w:numId w:val="3"/>
        </w:numPr>
        <w:shd w:val="clear" w:color="auto" w:fill="FFFFFF"/>
        <w:spacing w:before="0" w:beforeAutospacing="0" w:after="0" w:afterAutospacing="0" w:line="360" w:lineRule="auto"/>
        <w:jc w:val="both"/>
        <w:rPr>
          <w:rFonts w:ascii="Arial" w:hAnsi="Arial" w:cs="Arial"/>
          <w:b/>
          <w:color w:val="000000"/>
        </w:rPr>
      </w:pPr>
      <w:r w:rsidRPr="007D75CF">
        <w:rPr>
          <w:rFonts w:ascii="Arial" w:hAnsi="Arial" w:cs="Arial"/>
          <w:b/>
          <w:i/>
          <w:color w:val="000000"/>
        </w:rPr>
        <w:t>D.T. v C.T</w:t>
      </w:r>
      <w:r w:rsidRPr="007D75CF">
        <w:rPr>
          <w:rFonts w:ascii="Arial" w:hAnsi="Arial" w:cs="Arial"/>
          <w:b/>
          <w:color w:val="000000"/>
        </w:rPr>
        <w:t>. [2002] 3 I.R. 334 (divorce and ‘proper provision’).</w:t>
      </w:r>
    </w:p>
    <w:p w14:paraId="03364CA6" w14:textId="552727E9" w:rsidR="004317C8" w:rsidRPr="007D75CF" w:rsidRDefault="004317C8" w:rsidP="007D75CF">
      <w:pPr>
        <w:pStyle w:val="NormalWeb"/>
        <w:shd w:val="clear" w:color="auto" w:fill="FFFFFF"/>
        <w:spacing w:before="0" w:beforeAutospacing="0" w:after="0" w:afterAutospacing="0" w:line="360" w:lineRule="auto"/>
        <w:jc w:val="both"/>
        <w:rPr>
          <w:rFonts w:ascii="Arial" w:hAnsi="Arial" w:cs="Arial"/>
          <w:color w:val="000000"/>
        </w:rPr>
      </w:pPr>
    </w:p>
    <w:p w14:paraId="1D633E02" w14:textId="3D6C7734" w:rsidR="004317C8" w:rsidRPr="007D75CF" w:rsidRDefault="004317C8" w:rsidP="007D75CF">
      <w:pPr>
        <w:spacing w:line="360" w:lineRule="auto"/>
        <w:jc w:val="both"/>
        <w:rPr>
          <w:rFonts w:ascii="Arial" w:hAnsi="Arial" w:cs="Arial"/>
          <w:color w:val="000000"/>
          <w:shd w:val="clear" w:color="auto" w:fill="FFFFFF"/>
        </w:rPr>
      </w:pPr>
      <w:r w:rsidRPr="007D75CF">
        <w:rPr>
          <w:rFonts w:ascii="Arial" w:hAnsi="Arial" w:cs="Arial"/>
          <w:color w:val="000000"/>
        </w:rPr>
        <w:t>Murray J. stated that while the language of Article 41.2 was dated, it recognises that the caring done by a ‘parent’ is “indispensable to the welfare of the State “</w:t>
      </w:r>
      <w:r w:rsidRPr="007D75CF">
        <w:rPr>
          <w:rFonts w:ascii="Arial" w:hAnsi="Arial" w:cs="Arial"/>
          <w:color w:val="000000"/>
          <w:shd w:val="clear" w:color="auto" w:fill="FFFFFF"/>
        </w:rPr>
        <w:t>by virtue of the fact that it promotes the welfare of the family as a fundamental unit in society” (at p. 407). Murray J. continued,</w:t>
      </w:r>
    </w:p>
    <w:p w14:paraId="0525E461" w14:textId="19B71297" w:rsidR="004317C8" w:rsidRPr="007D75CF" w:rsidRDefault="004317C8" w:rsidP="007D75CF">
      <w:pPr>
        <w:spacing w:line="360" w:lineRule="auto"/>
        <w:jc w:val="both"/>
        <w:rPr>
          <w:rFonts w:ascii="Arial" w:hAnsi="Arial" w:cs="Arial"/>
          <w:color w:val="000000"/>
          <w:shd w:val="clear" w:color="auto" w:fill="FFFFFF"/>
        </w:rPr>
      </w:pPr>
    </w:p>
    <w:p w14:paraId="767138B2" w14:textId="3C8692F1" w:rsidR="004317C8" w:rsidRPr="007D75CF" w:rsidRDefault="004317C8" w:rsidP="007D75CF">
      <w:pPr>
        <w:spacing w:line="360" w:lineRule="auto"/>
        <w:ind w:left="720"/>
        <w:jc w:val="both"/>
        <w:rPr>
          <w:rFonts w:ascii="Arial" w:hAnsi="Arial" w:cs="Arial"/>
          <w:color w:val="000000"/>
          <w:shd w:val="clear" w:color="auto" w:fill="FFFFFF"/>
        </w:rPr>
      </w:pPr>
      <w:r w:rsidRPr="007D75CF">
        <w:rPr>
          <w:rFonts w:ascii="Arial" w:hAnsi="Arial" w:cs="Arial"/>
          <w:color w:val="000000"/>
          <w:shd w:val="clear" w:color="auto" w:fill="FFFFFF"/>
        </w:rPr>
        <w:t>“…</w:t>
      </w:r>
      <w:r w:rsidRPr="004317C8">
        <w:rPr>
          <w:rFonts w:ascii="Arial" w:hAnsi="Arial" w:cs="Arial"/>
          <w:color w:val="000000"/>
          <w:shd w:val="clear" w:color="auto" w:fill="FFFFFF"/>
        </w:rPr>
        <w:t>in ensuring that proper provision is made for the spouses of a marriage before a decree of divorce, the courts should, in principle, attribute the same value to the contribution of a spouse who works primarily in the home as it does to that of a spouse who works primarily outside th</w:t>
      </w:r>
      <w:r w:rsidRPr="007D75CF">
        <w:rPr>
          <w:rFonts w:ascii="Arial" w:hAnsi="Arial" w:cs="Arial"/>
          <w:color w:val="000000"/>
          <w:shd w:val="clear" w:color="auto" w:fill="FFFFFF"/>
        </w:rPr>
        <w:t>e home as the principal earner.”</w:t>
      </w:r>
    </w:p>
    <w:p w14:paraId="11BFFDF2" w14:textId="0D7DF0F4" w:rsidR="004317C8" w:rsidRPr="007D75CF" w:rsidRDefault="004317C8" w:rsidP="007D75CF">
      <w:pPr>
        <w:spacing w:line="360" w:lineRule="auto"/>
        <w:jc w:val="both"/>
        <w:rPr>
          <w:rFonts w:ascii="Arial" w:hAnsi="Arial" w:cs="Arial"/>
          <w:color w:val="000000"/>
          <w:shd w:val="clear" w:color="auto" w:fill="FFFFFF"/>
        </w:rPr>
      </w:pPr>
    </w:p>
    <w:p w14:paraId="4F20322F" w14:textId="7E2F75E5" w:rsidR="004317C8" w:rsidRPr="007D75CF" w:rsidRDefault="004317C8" w:rsidP="007D75CF">
      <w:pPr>
        <w:pStyle w:val="ListParagraph"/>
        <w:numPr>
          <w:ilvl w:val="0"/>
          <w:numId w:val="3"/>
        </w:numPr>
        <w:spacing w:line="360" w:lineRule="auto"/>
        <w:jc w:val="both"/>
        <w:rPr>
          <w:rFonts w:ascii="Arial" w:hAnsi="Arial" w:cs="Arial"/>
          <w:b/>
        </w:rPr>
      </w:pPr>
      <w:r w:rsidRPr="007D75CF">
        <w:rPr>
          <w:rFonts w:ascii="Arial" w:hAnsi="Arial" w:cs="Arial"/>
          <w:b/>
          <w:i/>
        </w:rPr>
        <w:t>M.K. v. J.P. (otherwise S.K.) (Divorce: ancillary relief)</w:t>
      </w:r>
      <w:r w:rsidRPr="007D75CF">
        <w:rPr>
          <w:rFonts w:ascii="Arial" w:hAnsi="Arial" w:cs="Arial"/>
          <w:b/>
        </w:rPr>
        <w:t xml:space="preserve">  [2001] 3 I.R. 371.</w:t>
      </w:r>
    </w:p>
    <w:p w14:paraId="16EC2146" w14:textId="77777777" w:rsidR="004317C8" w:rsidRPr="007D75CF" w:rsidRDefault="004317C8" w:rsidP="007D75CF">
      <w:pPr>
        <w:spacing w:line="360" w:lineRule="auto"/>
        <w:jc w:val="both"/>
        <w:rPr>
          <w:rFonts w:ascii="Arial" w:hAnsi="Arial" w:cs="Arial"/>
        </w:rPr>
      </w:pPr>
    </w:p>
    <w:p w14:paraId="3391716C" w14:textId="16C6FE1C" w:rsidR="004317C8" w:rsidRPr="007D75CF" w:rsidRDefault="004317C8" w:rsidP="007D75CF">
      <w:pPr>
        <w:spacing w:line="360" w:lineRule="auto"/>
        <w:jc w:val="both"/>
        <w:rPr>
          <w:rFonts w:ascii="Arial" w:hAnsi="Arial" w:cs="Arial"/>
        </w:rPr>
      </w:pPr>
      <w:r w:rsidRPr="007D75CF">
        <w:rPr>
          <w:rFonts w:ascii="Arial" w:hAnsi="Arial" w:cs="Arial"/>
        </w:rPr>
        <w:t>McGuiness J. stated the clean break divorce is not provided for in Irish law. This is in line with the constitutional requirements as regards divorce, as well as being in line with Article 41.2 “ and the statutory guidelines, has been to give full credit to the wife's contribution through her work in the home and as a mother to her children.”</w:t>
      </w:r>
    </w:p>
    <w:p w14:paraId="6B0F48B8" w14:textId="44659ECC" w:rsidR="002E72CF" w:rsidRPr="007D75CF" w:rsidRDefault="002E72CF" w:rsidP="007D75CF">
      <w:pPr>
        <w:spacing w:line="360" w:lineRule="auto"/>
        <w:jc w:val="both"/>
        <w:rPr>
          <w:rFonts w:ascii="Arial" w:hAnsi="Arial" w:cs="Arial"/>
        </w:rPr>
      </w:pPr>
    </w:p>
    <w:p w14:paraId="0989DDF1" w14:textId="3102EA6F" w:rsidR="002E72CF" w:rsidRPr="007D75CF" w:rsidRDefault="002E72CF" w:rsidP="007D75CF">
      <w:pPr>
        <w:pStyle w:val="ListParagraph"/>
        <w:numPr>
          <w:ilvl w:val="0"/>
          <w:numId w:val="3"/>
        </w:numPr>
        <w:spacing w:line="360" w:lineRule="auto"/>
        <w:jc w:val="both"/>
        <w:rPr>
          <w:rFonts w:ascii="Arial" w:hAnsi="Arial" w:cs="Arial"/>
          <w:b/>
        </w:rPr>
      </w:pPr>
      <w:r w:rsidRPr="007D75CF">
        <w:rPr>
          <w:rFonts w:ascii="Arial" w:hAnsi="Arial" w:cs="Arial"/>
          <w:b/>
          <w:i/>
        </w:rPr>
        <w:t>G v G.</w:t>
      </w:r>
      <w:r w:rsidRPr="007D75CF">
        <w:rPr>
          <w:rFonts w:ascii="Arial" w:hAnsi="Arial" w:cs="Arial"/>
          <w:b/>
        </w:rPr>
        <w:t xml:space="preserve"> [1984] 1 I.R. 368 (foreign divorce, maintenance)</w:t>
      </w:r>
    </w:p>
    <w:p w14:paraId="2A01AD5C" w14:textId="1D6475F8" w:rsidR="002E72CF" w:rsidRPr="007D75CF" w:rsidRDefault="002E72CF" w:rsidP="007D75CF">
      <w:pPr>
        <w:spacing w:line="360" w:lineRule="auto"/>
        <w:jc w:val="both"/>
        <w:rPr>
          <w:rFonts w:ascii="Arial" w:hAnsi="Arial" w:cs="Arial"/>
        </w:rPr>
      </w:pPr>
    </w:p>
    <w:p w14:paraId="320E72E0" w14:textId="4DDFE225" w:rsidR="002E72CF" w:rsidRPr="007D75CF" w:rsidRDefault="007D75CF" w:rsidP="007D75CF">
      <w:pPr>
        <w:spacing w:line="360" w:lineRule="auto"/>
        <w:jc w:val="both"/>
        <w:rPr>
          <w:rFonts w:ascii="Arial" w:hAnsi="Arial" w:cs="Arial"/>
        </w:rPr>
      </w:pPr>
      <w:r w:rsidRPr="007D75CF">
        <w:rPr>
          <w:rFonts w:ascii="Arial" w:hAnsi="Arial" w:cs="Arial"/>
        </w:rPr>
        <w:t xml:space="preserve">Article 41.2 mentioned but not engaged with. </w:t>
      </w:r>
    </w:p>
    <w:p w14:paraId="20F3941D" w14:textId="3B85DAE0" w:rsidR="007D75CF" w:rsidRPr="007D75CF" w:rsidRDefault="007D75CF" w:rsidP="007D75CF">
      <w:pPr>
        <w:spacing w:line="360" w:lineRule="auto"/>
        <w:jc w:val="both"/>
        <w:rPr>
          <w:rFonts w:ascii="Arial" w:hAnsi="Arial" w:cs="Arial"/>
        </w:rPr>
      </w:pPr>
    </w:p>
    <w:p w14:paraId="192AA203" w14:textId="4B5ADF07" w:rsidR="007D75CF" w:rsidRPr="007D75CF" w:rsidRDefault="007D75CF" w:rsidP="007D75CF">
      <w:pPr>
        <w:pStyle w:val="ListParagraph"/>
        <w:numPr>
          <w:ilvl w:val="0"/>
          <w:numId w:val="3"/>
        </w:numPr>
        <w:spacing w:line="360" w:lineRule="auto"/>
        <w:jc w:val="both"/>
        <w:rPr>
          <w:rFonts w:ascii="Arial" w:hAnsi="Arial" w:cs="Arial"/>
          <w:b/>
        </w:rPr>
      </w:pPr>
      <w:r w:rsidRPr="007D75CF">
        <w:rPr>
          <w:rFonts w:ascii="Arial" w:hAnsi="Arial" w:cs="Arial"/>
          <w:b/>
          <w:i/>
        </w:rPr>
        <w:t>McGee v Ireland</w:t>
      </w:r>
      <w:r w:rsidRPr="007D75CF">
        <w:rPr>
          <w:rFonts w:ascii="Arial" w:hAnsi="Arial" w:cs="Arial"/>
          <w:b/>
        </w:rPr>
        <w:t xml:space="preserve"> [1974] 1 I.R. 284 </w:t>
      </w:r>
    </w:p>
    <w:p w14:paraId="795749ED" w14:textId="24BC08DA" w:rsidR="007D75CF" w:rsidRPr="007D75CF" w:rsidRDefault="007D75CF" w:rsidP="007D75CF">
      <w:pPr>
        <w:spacing w:line="360" w:lineRule="auto"/>
        <w:jc w:val="both"/>
        <w:rPr>
          <w:rFonts w:ascii="Arial" w:hAnsi="Arial" w:cs="Arial"/>
        </w:rPr>
      </w:pPr>
    </w:p>
    <w:p w14:paraId="5CAC617E" w14:textId="3820DCFF" w:rsidR="007D75CF" w:rsidRDefault="007D75CF" w:rsidP="007D75CF">
      <w:pPr>
        <w:spacing w:line="360" w:lineRule="auto"/>
        <w:jc w:val="both"/>
        <w:rPr>
          <w:rFonts w:ascii="Arial" w:hAnsi="Arial" w:cs="Arial"/>
        </w:rPr>
      </w:pPr>
      <w:r w:rsidRPr="007D75CF">
        <w:rPr>
          <w:rFonts w:ascii="Arial" w:hAnsi="Arial" w:cs="Arial"/>
        </w:rPr>
        <w:t xml:space="preserve">Mention of Article 41.2. as a whole, but nothing much in the case other than confirming the contents of this Article. </w:t>
      </w:r>
    </w:p>
    <w:p w14:paraId="5FCAEE8A" w14:textId="072DFE0D" w:rsidR="007D75CF" w:rsidRDefault="007D75CF" w:rsidP="007D75CF">
      <w:pPr>
        <w:spacing w:line="360" w:lineRule="auto"/>
        <w:jc w:val="both"/>
        <w:rPr>
          <w:rFonts w:ascii="Arial" w:hAnsi="Arial" w:cs="Arial"/>
        </w:rPr>
      </w:pPr>
    </w:p>
    <w:p w14:paraId="446C7561" w14:textId="54F01990" w:rsidR="007D75CF" w:rsidRPr="007D75CF" w:rsidRDefault="007D75CF" w:rsidP="007D75CF">
      <w:pPr>
        <w:pStyle w:val="ListParagraph"/>
        <w:numPr>
          <w:ilvl w:val="0"/>
          <w:numId w:val="3"/>
        </w:numPr>
        <w:rPr>
          <w:rFonts w:ascii="Arial" w:hAnsi="Arial" w:cs="Arial"/>
        </w:rPr>
      </w:pPr>
      <w:r w:rsidRPr="007D75CF">
        <w:rPr>
          <w:rFonts w:ascii="Arial" w:hAnsi="Arial" w:cs="Arial"/>
          <w:b/>
          <w:bCs/>
          <w:color w:val="000000"/>
          <w:shd w:val="clear" w:color="auto" w:fill="FFFFFF"/>
        </w:rPr>
        <w:t>In the Matter of the Estate of Haden Crawford Caffin</w:t>
      </w:r>
      <w:r>
        <w:rPr>
          <w:rFonts w:ascii="Arial" w:hAnsi="Arial" w:cs="Arial"/>
          <w:b/>
          <w:bCs/>
          <w:color w:val="000000"/>
          <w:shd w:val="clear" w:color="auto" w:fill="FFFFFF"/>
        </w:rPr>
        <w:t xml:space="preserve"> (succession, conflict of laws, divorce) [1971] 1 I.R. 123. </w:t>
      </w:r>
    </w:p>
    <w:p w14:paraId="06C66A52" w14:textId="2678D460" w:rsidR="007D75CF" w:rsidRDefault="007D75CF" w:rsidP="007D75CF">
      <w:pPr>
        <w:rPr>
          <w:rFonts w:ascii="Arial" w:hAnsi="Arial" w:cs="Arial"/>
        </w:rPr>
      </w:pPr>
    </w:p>
    <w:p w14:paraId="0478230C" w14:textId="72E9DA65" w:rsidR="007D75CF" w:rsidRPr="007D75CF" w:rsidRDefault="007D75CF" w:rsidP="007D75CF">
      <w:pPr>
        <w:rPr>
          <w:rFonts w:ascii="Arial" w:hAnsi="Arial" w:cs="Arial"/>
        </w:rPr>
      </w:pPr>
      <w:r>
        <w:rPr>
          <w:rFonts w:ascii="Arial" w:hAnsi="Arial" w:cs="Arial"/>
        </w:rPr>
        <w:t xml:space="preserve">Mention of Article 41.2 but no real engagement. </w:t>
      </w:r>
    </w:p>
    <w:p w14:paraId="0A77EB01" w14:textId="6A17336E" w:rsidR="007D75CF" w:rsidRPr="007D75CF" w:rsidRDefault="007D75CF" w:rsidP="007D75CF">
      <w:pPr>
        <w:spacing w:line="360" w:lineRule="auto"/>
        <w:jc w:val="both"/>
        <w:rPr>
          <w:rFonts w:ascii="Arial" w:hAnsi="Arial" w:cs="Arial"/>
        </w:rPr>
      </w:pPr>
    </w:p>
    <w:p w14:paraId="6EE7AF2E" w14:textId="291F8BFB" w:rsidR="004317C8" w:rsidRPr="007D75CF" w:rsidRDefault="004317C8" w:rsidP="007D75CF">
      <w:pPr>
        <w:spacing w:line="360" w:lineRule="auto"/>
        <w:jc w:val="both"/>
        <w:rPr>
          <w:rFonts w:ascii="Arial" w:hAnsi="Arial" w:cs="Arial"/>
        </w:rPr>
      </w:pPr>
    </w:p>
    <w:p w14:paraId="129A21BF" w14:textId="77777777" w:rsidR="008079C7" w:rsidRPr="007D75CF" w:rsidRDefault="008079C7" w:rsidP="007D75CF">
      <w:pPr>
        <w:spacing w:line="360" w:lineRule="auto"/>
        <w:jc w:val="center"/>
        <w:rPr>
          <w:rFonts w:ascii="Arial" w:hAnsi="Arial" w:cs="Arial"/>
          <w:sz w:val="32"/>
          <w:szCs w:val="32"/>
        </w:rPr>
      </w:pPr>
    </w:p>
    <w:p w14:paraId="3E0D50D6" w14:textId="77777777" w:rsidR="008079C7" w:rsidRPr="007D75CF" w:rsidRDefault="008079C7" w:rsidP="007D75CF">
      <w:pPr>
        <w:spacing w:line="360" w:lineRule="auto"/>
        <w:jc w:val="center"/>
        <w:rPr>
          <w:rFonts w:ascii="Arial" w:hAnsi="Arial" w:cs="Arial"/>
          <w:b/>
          <w:sz w:val="32"/>
          <w:szCs w:val="32"/>
        </w:rPr>
      </w:pPr>
      <w:r w:rsidRPr="007D75CF">
        <w:rPr>
          <w:rFonts w:ascii="Arial" w:hAnsi="Arial" w:cs="Arial"/>
          <w:b/>
          <w:sz w:val="32"/>
          <w:szCs w:val="32"/>
        </w:rPr>
        <w:t>Law and Surrogacy</w:t>
      </w:r>
    </w:p>
    <w:p w14:paraId="1FE30147" w14:textId="77777777" w:rsidR="008079C7" w:rsidRPr="007D75CF" w:rsidRDefault="008079C7" w:rsidP="007D75CF">
      <w:pPr>
        <w:spacing w:line="360" w:lineRule="auto"/>
        <w:jc w:val="both"/>
        <w:rPr>
          <w:rFonts w:ascii="Arial" w:hAnsi="Arial" w:cs="Arial"/>
        </w:rPr>
      </w:pPr>
    </w:p>
    <w:p w14:paraId="62B4CAF8" w14:textId="340D9121" w:rsidR="008079C7" w:rsidRPr="007D75CF" w:rsidRDefault="008079C7" w:rsidP="007D75CF">
      <w:pPr>
        <w:pStyle w:val="ListParagraph"/>
        <w:numPr>
          <w:ilvl w:val="0"/>
          <w:numId w:val="4"/>
        </w:numPr>
        <w:spacing w:line="360" w:lineRule="auto"/>
        <w:jc w:val="both"/>
        <w:rPr>
          <w:rFonts w:ascii="Arial" w:hAnsi="Arial" w:cs="Arial"/>
          <w:b/>
        </w:rPr>
      </w:pPr>
      <w:r w:rsidRPr="007D75CF">
        <w:rPr>
          <w:rFonts w:ascii="Arial" w:hAnsi="Arial" w:cs="Arial"/>
          <w:b/>
          <w:i/>
        </w:rPr>
        <w:t xml:space="preserve">M.R. and D.R. (minors suing by their father and next friend O.R.), O.R. and C.R. v. An tArd Chláraitheoir, Ireland and The Attorney General, Respondents And L.L., Notice Party, and The Equality Authority and The Irish Human Rights Commission, Amici Curiae </w:t>
      </w:r>
      <w:r w:rsidRPr="007D75CF">
        <w:rPr>
          <w:rFonts w:ascii="Arial" w:hAnsi="Arial" w:cs="Arial"/>
          <w:b/>
        </w:rPr>
        <w:t>[2014] 3 I.R. 533 (surrogacy and mater semper certa est)</w:t>
      </w:r>
    </w:p>
    <w:p w14:paraId="4CDB858D" w14:textId="77777777" w:rsidR="008079C7" w:rsidRPr="007D75CF" w:rsidRDefault="008079C7" w:rsidP="007D75CF">
      <w:pPr>
        <w:spacing w:line="360" w:lineRule="auto"/>
        <w:jc w:val="both"/>
        <w:rPr>
          <w:rFonts w:ascii="Arial" w:hAnsi="Arial" w:cs="Arial"/>
        </w:rPr>
      </w:pPr>
    </w:p>
    <w:p w14:paraId="1C9F5CEC" w14:textId="77777777" w:rsidR="00A37E56" w:rsidRPr="007D75CF" w:rsidRDefault="008079C7" w:rsidP="007D75CF">
      <w:pPr>
        <w:spacing w:line="360" w:lineRule="auto"/>
        <w:jc w:val="both"/>
        <w:rPr>
          <w:rFonts w:ascii="Arial" w:hAnsi="Arial" w:cs="Arial"/>
        </w:rPr>
      </w:pPr>
      <w:r w:rsidRPr="007D75CF">
        <w:rPr>
          <w:rFonts w:ascii="Arial" w:hAnsi="Arial" w:cs="Arial"/>
        </w:rPr>
        <w:t>Denham CJ (at paras 63-66): There is no one constitutional definition of “mother”. The definition of “mother” under Article 41.2.2 of the Constitution “would include mothers who are neither the gestational nor genetic mother of the child.”</w:t>
      </w:r>
      <w:r w:rsidR="0045762C" w:rsidRPr="007D75CF">
        <w:rPr>
          <w:rFonts w:ascii="Arial" w:hAnsi="Arial" w:cs="Arial"/>
        </w:rPr>
        <w:t xml:space="preserve">  </w:t>
      </w:r>
      <w:r w:rsidR="00B17CD7" w:rsidRPr="007D75CF">
        <w:rPr>
          <w:rFonts w:ascii="Arial" w:hAnsi="Arial" w:cs="Arial"/>
        </w:rPr>
        <w:t xml:space="preserve">McKechnie J. argued that the concept of ‘mother’ is not necessarily limited to the constitutional family under Article 41, relying on O'Flaherty J. in  </w:t>
      </w:r>
      <w:r w:rsidR="00B17CD7" w:rsidRPr="007D75CF">
        <w:rPr>
          <w:rFonts w:ascii="Arial" w:hAnsi="Arial" w:cs="Arial"/>
          <w:i/>
        </w:rPr>
        <w:t>L. v. L  .</w:t>
      </w:r>
      <w:r w:rsidR="00B17CD7" w:rsidRPr="007D75CF">
        <w:rPr>
          <w:rFonts w:ascii="Arial" w:hAnsi="Arial" w:cs="Arial"/>
        </w:rPr>
        <w:t xml:space="preserve"> [1992] 2 I.R. 77 at p. 112.</w:t>
      </w:r>
      <w:r w:rsidR="00A37E56" w:rsidRPr="007D75CF">
        <w:rPr>
          <w:rFonts w:ascii="Arial" w:hAnsi="Arial" w:cs="Arial"/>
        </w:rPr>
        <w:t xml:space="preserve"> At para. 339, McKechnie J. states:</w:t>
      </w:r>
    </w:p>
    <w:p w14:paraId="28BC9663" w14:textId="77777777" w:rsidR="00A37E56" w:rsidRPr="007D75CF" w:rsidRDefault="00A37E56" w:rsidP="007D75CF">
      <w:pPr>
        <w:spacing w:line="360" w:lineRule="auto"/>
        <w:jc w:val="both"/>
        <w:rPr>
          <w:rFonts w:ascii="Arial" w:hAnsi="Arial" w:cs="Arial"/>
        </w:rPr>
      </w:pPr>
    </w:p>
    <w:p w14:paraId="65E226D5" w14:textId="77777777" w:rsidR="00A37E56" w:rsidRPr="007D75CF" w:rsidRDefault="00A37E56" w:rsidP="007D75CF">
      <w:pPr>
        <w:spacing w:line="360" w:lineRule="auto"/>
        <w:ind w:left="720"/>
        <w:jc w:val="both"/>
        <w:rPr>
          <w:rFonts w:ascii="Arial" w:hAnsi="Arial" w:cs="Arial"/>
          <w:color w:val="000000"/>
          <w:shd w:val="clear" w:color="auto" w:fill="FFFFFF"/>
          <w:lang w:eastAsia="en-GB"/>
        </w:rPr>
      </w:pPr>
      <w:r w:rsidRPr="007D75CF">
        <w:rPr>
          <w:rFonts w:ascii="Arial" w:hAnsi="Arial" w:cs="Arial"/>
        </w:rPr>
        <w:t>“</w:t>
      </w:r>
      <w:r w:rsidRPr="007D75CF">
        <w:rPr>
          <w:rFonts w:ascii="Arial" w:hAnsi="Arial" w:cs="Arial"/>
          <w:color w:val="000000"/>
          <w:shd w:val="clear" w:color="auto" w:fill="FFFFFF"/>
          <w:lang w:eastAsia="en-GB"/>
        </w:rPr>
        <w:t>It is not altogether clear what this provision means or why there should be such a sharp distinction between the terms used for the purpose of describing the State's recognition of a “woman's contribution” on the one hand and its duty of endeavour towards “mothers” on the other.”</w:t>
      </w:r>
    </w:p>
    <w:p w14:paraId="2FF8B589" w14:textId="77777777" w:rsidR="00E3102D" w:rsidRPr="007D75CF" w:rsidRDefault="00E3102D" w:rsidP="007D75CF">
      <w:pPr>
        <w:spacing w:line="360" w:lineRule="auto"/>
        <w:jc w:val="both"/>
        <w:rPr>
          <w:rFonts w:ascii="Arial" w:hAnsi="Arial" w:cs="Arial"/>
          <w:color w:val="000000"/>
          <w:shd w:val="clear" w:color="auto" w:fill="FFFFFF"/>
          <w:lang w:eastAsia="en-GB"/>
        </w:rPr>
      </w:pPr>
    </w:p>
    <w:p w14:paraId="735921C8" w14:textId="77777777" w:rsidR="00E3102D" w:rsidRPr="007D75CF" w:rsidRDefault="00E3102D" w:rsidP="007D75CF">
      <w:pPr>
        <w:spacing w:line="360" w:lineRule="auto"/>
        <w:jc w:val="center"/>
        <w:rPr>
          <w:rFonts w:ascii="Arial" w:hAnsi="Arial" w:cs="Arial"/>
          <w:b/>
          <w:color w:val="000000"/>
          <w:sz w:val="32"/>
          <w:szCs w:val="32"/>
          <w:shd w:val="clear" w:color="auto" w:fill="FFFFFF"/>
          <w:lang w:eastAsia="en-GB"/>
        </w:rPr>
      </w:pPr>
      <w:r w:rsidRPr="007D75CF">
        <w:rPr>
          <w:rFonts w:ascii="Arial" w:hAnsi="Arial" w:cs="Arial"/>
          <w:b/>
          <w:color w:val="000000"/>
          <w:sz w:val="32"/>
          <w:szCs w:val="32"/>
          <w:shd w:val="clear" w:color="auto" w:fill="FFFFFF"/>
          <w:lang w:eastAsia="en-GB"/>
        </w:rPr>
        <w:t>Law and Childcare</w:t>
      </w:r>
    </w:p>
    <w:p w14:paraId="3D71EDC4" w14:textId="77777777" w:rsidR="00E3102D" w:rsidRPr="007D75CF" w:rsidRDefault="00E3102D" w:rsidP="007D75CF">
      <w:pPr>
        <w:spacing w:line="360" w:lineRule="auto"/>
        <w:jc w:val="both"/>
        <w:rPr>
          <w:rFonts w:ascii="Arial" w:hAnsi="Arial" w:cs="Arial"/>
          <w:b/>
          <w:color w:val="000000"/>
          <w:shd w:val="clear" w:color="auto" w:fill="FFFFFF"/>
          <w:lang w:eastAsia="en-GB"/>
        </w:rPr>
      </w:pPr>
    </w:p>
    <w:p w14:paraId="5B6EF970" w14:textId="77777777" w:rsidR="007D75CF" w:rsidRPr="007D75CF" w:rsidRDefault="00E3102D" w:rsidP="007D75CF">
      <w:pPr>
        <w:pStyle w:val="ListParagraph"/>
        <w:numPr>
          <w:ilvl w:val="0"/>
          <w:numId w:val="5"/>
        </w:numPr>
        <w:spacing w:line="360" w:lineRule="auto"/>
        <w:jc w:val="both"/>
        <w:rPr>
          <w:rFonts w:ascii="Arial" w:hAnsi="Arial" w:cs="Arial"/>
          <w:b/>
          <w:lang w:eastAsia="en-GB"/>
        </w:rPr>
      </w:pPr>
      <w:r w:rsidRPr="007D75CF">
        <w:rPr>
          <w:rFonts w:ascii="Arial" w:hAnsi="Arial" w:cs="Arial"/>
          <w:b/>
          <w:i/>
          <w:lang w:eastAsia="en-GB"/>
        </w:rPr>
        <w:t>U.V. v V.U.</w:t>
      </w:r>
      <w:r w:rsidRPr="007D75CF">
        <w:rPr>
          <w:rFonts w:ascii="Arial" w:hAnsi="Arial" w:cs="Arial"/>
          <w:b/>
          <w:lang w:eastAsia="en-GB"/>
        </w:rPr>
        <w:t xml:space="preserve"> [2012] 3 I.R. 19 (</w:t>
      </w:r>
      <w:r w:rsidR="00E874FF" w:rsidRPr="007D75CF">
        <w:rPr>
          <w:rFonts w:ascii="Arial" w:hAnsi="Arial" w:cs="Arial"/>
          <w:b/>
          <w:lang w:eastAsia="en-GB"/>
        </w:rPr>
        <w:t>permission to remove c</w:t>
      </w:r>
      <w:r w:rsidR="007D75CF" w:rsidRPr="007D75CF">
        <w:rPr>
          <w:rFonts w:ascii="Arial" w:hAnsi="Arial" w:cs="Arial"/>
          <w:b/>
          <w:lang w:eastAsia="en-GB"/>
        </w:rPr>
        <w:t>hildren to other jurisdiction).</w:t>
      </w:r>
    </w:p>
    <w:p w14:paraId="66E49015" w14:textId="77777777" w:rsidR="007D75CF" w:rsidRDefault="007D75CF" w:rsidP="007D75CF">
      <w:pPr>
        <w:spacing w:line="360" w:lineRule="auto"/>
        <w:jc w:val="both"/>
        <w:rPr>
          <w:rFonts w:ascii="Arial" w:hAnsi="Arial" w:cs="Arial"/>
          <w:lang w:eastAsia="en-GB"/>
        </w:rPr>
      </w:pPr>
    </w:p>
    <w:p w14:paraId="56BB58A3" w14:textId="7D349FD4" w:rsidR="00E3102D" w:rsidRPr="007D75CF" w:rsidRDefault="00E874FF" w:rsidP="007D75CF">
      <w:pPr>
        <w:spacing w:line="360" w:lineRule="auto"/>
        <w:jc w:val="both"/>
        <w:rPr>
          <w:rFonts w:ascii="Arial" w:hAnsi="Arial" w:cs="Arial"/>
          <w:lang w:eastAsia="en-GB"/>
        </w:rPr>
      </w:pPr>
      <w:r w:rsidRPr="007D75CF">
        <w:rPr>
          <w:rFonts w:ascii="Arial" w:hAnsi="Arial" w:cs="Arial"/>
          <w:lang w:eastAsia="en-GB"/>
        </w:rPr>
        <w:t xml:space="preserve">Mention of, but no engagement with, Art. 41.2.2. </w:t>
      </w:r>
    </w:p>
    <w:p w14:paraId="3F746690" w14:textId="6F8F6572" w:rsidR="004317C8" w:rsidRPr="007D75CF" w:rsidRDefault="004317C8" w:rsidP="007D75CF">
      <w:pPr>
        <w:spacing w:line="360" w:lineRule="auto"/>
        <w:jc w:val="both"/>
        <w:rPr>
          <w:rFonts w:ascii="Arial" w:hAnsi="Arial" w:cs="Arial"/>
          <w:lang w:eastAsia="en-GB"/>
        </w:rPr>
      </w:pPr>
    </w:p>
    <w:p w14:paraId="6B33BD06" w14:textId="3AE77DB3" w:rsidR="004317C8" w:rsidRPr="007D75CF" w:rsidRDefault="004317C8" w:rsidP="007D75CF">
      <w:pPr>
        <w:spacing w:line="360" w:lineRule="auto"/>
        <w:jc w:val="both"/>
        <w:rPr>
          <w:rFonts w:ascii="Arial" w:hAnsi="Arial" w:cs="Arial"/>
          <w:lang w:eastAsia="en-GB"/>
        </w:rPr>
      </w:pPr>
    </w:p>
    <w:p w14:paraId="5DCE12DE" w14:textId="3E514559" w:rsidR="004317C8" w:rsidRPr="007D75CF" w:rsidRDefault="004317C8" w:rsidP="007D75CF">
      <w:pPr>
        <w:spacing w:line="360" w:lineRule="auto"/>
        <w:jc w:val="center"/>
        <w:rPr>
          <w:rFonts w:ascii="Arial" w:hAnsi="Arial" w:cs="Arial"/>
          <w:b/>
          <w:sz w:val="32"/>
          <w:szCs w:val="32"/>
          <w:lang w:eastAsia="en-GB"/>
        </w:rPr>
      </w:pPr>
      <w:r w:rsidRPr="007D75CF">
        <w:rPr>
          <w:rFonts w:ascii="Arial" w:hAnsi="Arial" w:cs="Arial"/>
          <w:b/>
          <w:sz w:val="32"/>
          <w:szCs w:val="32"/>
          <w:lang w:eastAsia="en-GB"/>
        </w:rPr>
        <w:lastRenderedPageBreak/>
        <w:t>Socio-Economic Rights</w:t>
      </w:r>
    </w:p>
    <w:p w14:paraId="4EDE4C7C" w14:textId="41291321" w:rsidR="004317C8" w:rsidRPr="007D75CF" w:rsidRDefault="004317C8" w:rsidP="007D75CF">
      <w:pPr>
        <w:spacing w:line="360" w:lineRule="auto"/>
        <w:jc w:val="both"/>
        <w:rPr>
          <w:rFonts w:ascii="Arial" w:hAnsi="Arial" w:cs="Arial"/>
          <w:b/>
          <w:lang w:eastAsia="en-GB"/>
        </w:rPr>
      </w:pPr>
    </w:p>
    <w:p w14:paraId="5FCFA9E9" w14:textId="2EAE622A" w:rsidR="004317C8" w:rsidRPr="007D75CF" w:rsidRDefault="004317C8" w:rsidP="007D75CF">
      <w:pPr>
        <w:pStyle w:val="ListParagraph"/>
        <w:numPr>
          <w:ilvl w:val="0"/>
          <w:numId w:val="6"/>
        </w:numPr>
        <w:spacing w:line="360" w:lineRule="auto"/>
        <w:jc w:val="both"/>
        <w:rPr>
          <w:rFonts w:ascii="Arial" w:hAnsi="Arial" w:cs="Arial"/>
          <w:b/>
          <w:lang w:eastAsia="en-GB"/>
        </w:rPr>
      </w:pPr>
      <w:r w:rsidRPr="007D75CF">
        <w:rPr>
          <w:rFonts w:ascii="Arial" w:hAnsi="Arial" w:cs="Arial"/>
          <w:b/>
          <w:i/>
          <w:lang w:eastAsia="en-GB"/>
        </w:rPr>
        <w:t>Sinnott v Minister for Education</w:t>
      </w:r>
      <w:r w:rsidRPr="007D75CF">
        <w:rPr>
          <w:rFonts w:ascii="Arial" w:hAnsi="Arial" w:cs="Arial"/>
          <w:b/>
          <w:lang w:eastAsia="en-GB"/>
        </w:rPr>
        <w:t xml:space="preserve"> [2001] 2 I.R. </w:t>
      </w:r>
      <w:r w:rsidR="00436380" w:rsidRPr="007D75CF">
        <w:rPr>
          <w:rFonts w:ascii="Arial" w:hAnsi="Arial" w:cs="Arial"/>
          <w:b/>
          <w:lang w:eastAsia="en-GB"/>
        </w:rPr>
        <w:t>545 (provision of education)</w:t>
      </w:r>
    </w:p>
    <w:p w14:paraId="7614F3ED" w14:textId="1CDEB1CA" w:rsidR="00436380" w:rsidRPr="007D75CF" w:rsidRDefault="00436380" w:rsidP="007D75CF">
      <w:pPr>
        <w:spacing w:line="360" w:lineRule="auto"/>
        <w:jc w:val="both"/>
        <w:rPr>
          <w:rFonts w:ascii="Arial" w:hAnsi="Arial" w:cs="Arial"/>
          <w:lang w:eastAsia="en-GB"/>
        </w:rPr>
      </w:pPr>
    </w:p>
    <w:p w14:paraId="265756CB" w14:textId="34509714" w:rsidR="00436380" w:rsidRPr="007D75CF" w:rsidRDefault="00436380" w:rsidP="007D75CF">
      <w:pPr>
        <w:spacing w:line="360" w:lineRule="auto"/>
        <w:jc w:val="both"/>
        <w:rPr>
          <w:rFonts w:ascii="Arial" w:hAnsi="Arial" w:cs="Arial"/>
          <w:lang w:eastAsia="en-GB"/>
        </w:rPr>
      </w:pPr>
      <w:r w:rsidRPr="007D75CF">
        <w:rPr>
          <w:rFonts w:ascii="Arial" w:hAnsi="Arial" w:cs="Arial"/>
          <w:lang w:eastAsia="en-GB"/>
        </w:rPr>
        <w:t xml:space="preserve">Hardiman J. suggested that Article 41.2..1 and Article 41.2.2 only refers to “women” and “mothers”, and stated at p. 691, </w:t>
      </w:r>
    </w:p>
    <w:p w14:paraId="12C0B635" w14:textId="061ABDDD" w:rsidR="00436380" w:rsidRPr="007D75CF" w:rsidRDefault="00436380" w:rsidP="007D75CF">
      <w:pPr>
        <w:spacing w:line="360" w:lineRule="auto"/>
        <w:jc w:val="both"/>
        <w:rPr>
          <w:rFonts w:ascii="Arial" w:hAnsi="Arial" w:cs="Arial"/>
          <w:lang w:eastAsia="en-GB"/>
        </w:rPr>
      </w:pPr>
    </w:p>
    <w:p w14:paraId="5DC1D39D" w14:textId="32B6B6E6" w:rsidR="00436380" w:rsidRPr="007D75CF" w:rsidRDefault="00436380" w:rsidP="007D75CF">
      <w:pPr>
        <w:spacing w:line="360" w:lineRule="auto"/>
        <w:ind w:left="720"/>
        <w:jc w:val="both"/>
        <w:rPr>
          <w:rFonts w:ascii="Arial" w:hAnsi="Arial" w:cs="Arial"/>
          <w:color w:val="000000"/>
          <w:shd w:val="clear" w:color="auto" w:fill="FFFFFF"/>
        </w:rPr>
      </w:pPr>
      <w:r w:rsidRPr="007D75CF">
        <w:rPr>
          <w:rFonts w:ascii="Arial" w:hAnsi="Arial" w:cs="Arial"/>
          <w:color w:val="000000"/>
          <w:shd w:val="clear" w:color="auto" w:fill="FFFFFF"/>
        </w:rPr>
        <w:t>“I</w:t>
      </w:r>
      <w:r w:rsidRPr="00436380">
        <w:rPr>
          <w:rFonts w:ascii="Arial" w:hAnsi="Arial" w:cs="Arial"/>
          <w:color w:val="000000"/>
          <w:shd w:val="clear" w:color="auto" w:fill="FFFFFF"/>
        </w:rPr>
        <w:t>t would clearly not be possible, in the absence of statutory provision, to import into this wording a constitutional obligation to make proper provision for a person who is neither a spouse nor the child of a spouse.</w:t>
      </w:r>
      <w:r w:rsidRPr="007D75CF">
        <w:rPr>
          <w:rFonts w:ascii="Arial" w:hAnsi="Arial" w:cs="Arial"/>
          <w:color w:val="000000"/>
          <w:shd w:val="clear" w:color="auto" w:fill="FFFFFF"/>
        </w:rPr>
        <w:t>”</w:t>
      </w:r>
    </w:p>
    <w:p w14:paraId="26936C40" w14:textId="77777777" w:rsidR="0030248F" w:rsidRPr="00436380" w:rsidRDefault="0030248F" w:rsidP="007D75CF">
      <w:pPr>
        <w:spacing w:line="360" w:lineRule="auto"/>
        <w:ind w:left="720"/>
        <w:jc w:val="both"/>
        <w:rPr>
          <w:rFonts w:ascii="Arial" w:hAnsi="Arial" w:cs="Arial"/>
        </w:rPr>
      </w:pPr>
    </w:p>
    <w:p w14:paraId="4E1A087F" w14:textId="2F841C63" w:rsidR="00436380" w:rsidRPr="007D75CF" w:rsidRDefault="00436380" w:rsidP="007D75CF">
      <w:pPr>
        <w:spacing w:line="360" w:lineRule="auto"/>
        <w:jc w:val="both"/>
        <w:rPr>
          <w:rFonts w:ascii="Arial" w:hAnsi="Arial" w:cs="Arial"/>
          <w:color w:val="000000"/>
          <w:shd w:val="clear" w:color="auto" w:fill="FFFFFF"/>
        </w:rPr>
      </w:pPr>
      <w:r w:rsidRPr="007D75CF">
        <w:rPr>
          <w:rFonts w:ascii="Arial" w:hAnsi="Arial" w:cs="Arial"/>
          <w:lang w:eastAsia="en-GB"/>
        </w:rPr>
        <w:t xml:space="preserve">Denham J. (at pp. </w:t>
      </w:r>
      <w:r w:rsidR="0030248F" w:rsidRPr="007D75CF">
        <w:rPr>
          <w:rFonts w:ascii="Arial" w:hAnsi="Arial" w:cs="Arial"/>
          <w:lang w:eastAsia="en-GB"/>
        </w:rPr>
        <w:t>66</w:t>
      </w:r>
      <w:r w:rsidRPr="007D75CF">
        <w:rPr>
          <w:rFonts w:ascii="Arial" w:hAnsi="Arial" w:cs="Arial"/>
          <w:lang w:eastAsia="en-GB"/>
        </w:rPr>
        <w:t>4 to 665</w:t>
      </w:r>
      <w:r w:rsidR="0030248F" w:rsidRPr="007D75CF">
        <w:rPr>
          <w:rFonts w:ascii="Arial" w:hAnsi="Arial" w:cs="Arial"/>
          <w:lang w:eastAsia="en-GB"/>
        </w:rPr>
        <w:t>-</w:t>
      </w:r>
      <w:r w:rsidR="0030248F" w:rsidRPr="007D75CF">
        <w:rPr>
          <w:rFonts w:ascii="Arial" w:hAnsi="Arial" w:cs="Arial"/>
          <w:b/>
          <w:lang w:eastAsia="en-GB"/>
        </w:rPr>
        <w:t>dissenting</w:t>
      </w:r>
      <w:r w:rsidRPr="007D75CF">
        <w:rPr>
          <w:rFonts w:ascii="Arial" w:hAnsi="Arial" w:cs="Arial"/>
          <w:lang w:eastAsia="en-GB"/>
        </w:rPr>
        <w:t xml:space="preserve">) noted the negative view of mothers and wives within the Constitution. However, stated that Article 41.2..1 and Article 41.2.2 did not consign women solely to the home. Denham J. noted the limited impact of these articles as regards substantive rights provisions for women (noting the cases of L v L </w:t>
      </w:r>
      <w:r w:rsidRPr="007D75CF">
        <w:rPr>
          <w:rFonts w:ascii="Arial" w:hAnsi="Arial" w:cs="Arial"/>
          <w:color w:val="000000"/>
          <w:shd w:val="clear" w:color="auto" w:fill="FFFFFF"/>
        </w:rPr>
        <w:t>[1992] 2 I.R. 77 and the decision of the Supreme Court in,</w:t>
      </w:r>
      <w:r w:rsidRPr="007D75CF">
        <w:rPr>
          <w:rFonts w:ascii="Arial" w:hAnsi="Arial" w:cs="Arial"/>
          <w:i/>
          <w:color w:val="000000"/>
          <w:shd w:val="clear" w:color="auto" w:fill="FFFFFF"/>
        </w:rPr>
        <w:t xml:space="preserve"> In re the Matrimonial Home Bill, 1993  </w:t>
      </w:r>
      <w:r w:rsidRPr="007D75CF">
        <w:rPr>
          <w:rFonts w:ascii="Arial" w:hAnsi="Arial" w:cs="Arial"/>
          <w:color w:val="000000"/>
          <w:shd w:val="clear" w:color="auto" w:fill="FFFFFF"/>
        </w:rPr>
        <w:t xml:space="preserve">[1994] 1 I.R. 305. Denham J. stated at p. 664, </w:t>
      </w:r>
    </w:p>
    <w:p w14:paraId="42D46443" w14:textId="69173D6C" w:rsidR="00436380" w:rsidRPr="007D75CF" w:rsidRDefault="00436380" w:rsidP="007D75CF">
      <w:pPr>
        <w:spacing w:line="360" w:lineRule="auto"/>
        <w:jc w:val="both"/>
        <w:rPr>
          <w:rFonts w:ascii="Arial" w:hAnsi="Arial" w:cs="Arial"/>
          <w:color w:val="000000"/>
          <w:shd w:val="clear" w:color="auto" w:fill="FFFFFF"/>
        </w:rPr>
      </w:pPr>
    </w:p>
    <w:p w14:paraId="250FEFAB" w14:textId="4FA03742" w:rsidR="00436380" w:rsidRPr="007D75CF" w:rsidRDefault="00436380" w:rsidP="007D75CF">
      <w:pPr>
        <w:spacing w:line="360" w:lineRule="auto"/>
        <w:ind w:left="720"/>
        <w:jc w:val="both"/>
        <w:rPr>
          <w:rFonts w:ascii="Arial" w:hAnsi="Arial" w:cs="Arial"/>
        </w:rPr>
      </w:pPr>
      <w:r w:rsidRPr="007D75CF">
        <w:rPr>
          <w:rFonts w:ascii="Arial" w:hAnsi="Arial" w:cs="Arial"/>
          <w:color w:val="000000"/>
          <w:shd w:val="clear" w:color="auto" w:fill="FFFFFF"/>
        </w:rPr>
        <w:t>“…within the family the special benefit given by women in the home, is recognised. It is acknowledged that that benefit is not just for the particular home, family and children, but for the common good…. This gives to women an acknowledged status in recognition not merely of the physical aspect of home making and family building, but of the emotional, social, physical, intellectual and spiritual work of women and mothers.”</w:t>
      </w:r>
    </w:p>
    <w:p w14:paraId="3B9C4555" w14:textId="77777777" w:rsidR="00436380" w:rsidRPr="007D75CF" w:rsidRDefault="00436380" w:rsidP="007D75CF">
      <w:pPr>
        <w:spacing w:line="360" w:lineRule="auto"/>
        <w:jc w:val="both"/>
        <w:rPr>
          <w:rFonts w:ascii="Arial" w:hAnsi="Arial" w:cs="Arial"/>
        </w:rPr>
      </w:pPr>
    </w:p>
    <w:p w14:paraId="2C031250" w14:textId="3037B9FD" w:rsidR="00436380" w:rsidRPr="007D75CF" w:rsidRDefault="00436380" w:rsidP="007D75CF">
      <w:pPr>
        <w:spacing w:line="360" w:lineRule="auto"/>
        <w:jc w:val="both"/>
        <w:rPr>
          <w:rFonts w:ascii="Arial" w:hAnsi="Arial" w:cs="Arial"/>
          <w:color w:val="000000"/>
          <w:shd w:val="clear" w:color="auto" w:fill="FFFFFF"/>
        </w:rPr>
      </w:pPr>
      <w:r w:rsidRPr="007D75CF">
        <w:rPr>
          <w:rFonts w:ascii="Arial" w:hAnsi="Arial" w:cs="Arial"/>
          <w:lang w:eastAsia="en-GB"/>
        </w:rPr>
        <w:t>Denham J. concluded her analysis at p.665 stating that while these Articles do not confine a woman/mother to the home, “</w:t>
      </w:r>
      <w:r w:rsidRPr="007D75CF">
        <w:rPr>
          <w:rFonts w:ascii="Arial" w:hAnsi="Arial" w:cs="Arial"/>
          <w:color w:val="000000"/>
          <w:shd w:val="clear" w:color="auto" w:fill="FFFFFF"/>
        </w:rPr>
        <w:t xml:space="preserve">It is a recognition of the work performed by women in the home. The work is recognised because it has immense benefit for society.” This was important as (at p.667), “The special recognition given to the role of women and mothers within the home by the Constitution must be read harmoniously with other articles of the Constitution”. </w:t>
      </w:r>
    </w:p>
    <w:p w14:paraId="64E6F53A" w14:textId="0B5A9581" w:rsidR="0030248F" w:rsidRPr="007D75CF" w:rsidRDefault="0030248F" w:rsidP="007D75CF">
      <w:pPr>
        <w:spacing w:line="360" w:lineRule="auto"/>
        <w:jc w:val="both"/>
        <w:rPr>
          <w:rFonts w:ascii="Arial" w:hAnsi="Arial" w:cs="Arial"/>
          <w:color w:val="000000"/>
          <w:shd w:val="clear" w:color="auto" w:fill="FFFFFF"/>
        </w:rPr>
      </w:pPr>
    </w:p>
    <w:p w14:paraId="2D262AC4" w14:textId="51911BE9" w:rsidR="0030248F" w:rsidRPr="007D75CF" w:rsidRDefault="0030248F" w:rsidP="007D75CF">
      <w:pPr>
        <w:pStyle w:val="ListParagraph"/>
        <w:numPr>
          <w:ilvl w:val="0"/>
          <w:numId w:val="6"/>
        </w:numPr>
        <w:spacing w:line="360" w:lineRule="auto"/>
        <w:jc w:val="both"/>
        <w:rPr>
          <w:rFonts w:ascii="Arial" w:hAnsi="Arial" w:cs="Arial"/>
          <w:b/>
          <w:color w:val="000000"/>
          <w:shd w:val="clear" w:color="auto" w:fill="FFFFFF"/>
        </w:rPr>
      </w:pPr>
      <w:r w:rsidRPr="007D75CF">
        <w:rPr>
          <w:rFonts w:ascii="Arial" w:hAnsi="Arial" w:cs="Arial"/>
          <w:b/>
          <w:i/>
          <w:color w:val="000000"/>
          <w:shd w:val="clear" w:color="auto" w:fill="FFFFFF"/>
        </w:rPr>
        <w:lastRenderedPageBreak/>
        <w:t>MhicMathuna v Ireland and the Attorney General</w:t>
      </w:r>
      <w:r w:rsidRPr="007D75CF">
        <w:rPr>
          <w:rFonts w:ascii="Arial" w:hAnsi="Arial" w:cs="Arial"/>
          <w:b/>
          <w:color w:val="000000"/>
          <w:shd w:val="clear" w:color="auto" w:fill="FFFFFF"/>
        </w:rPr>
        <w:t xml:space="preserve">  [1995] 1 I.R. 484 (constitutionality of supports provided to unmarried mothers in comparison with marital family)</w:t>
      </w:r>
    </w:p>
    <w:p w14:paraId="5585FDC0" w14:textId="10649867" w:rsidR="0030248F" w:rsidRPr="007D75CF" w:rsidRDefault="0030248F" w:rsidP="007D75CF">
      <w:pPr>
        <w:spacing w:line="360" w:lineRule="auto"/>
        <w:jc w:val="both"/>
        <w:rPr>
          <w:rFonts w:ascii="Arial" w:hAnsi="Arial" w:cs="Arial"/>
          <w:color w:val="000000"/>
          <w:shd w:val="clear" w:color="auto" w:fill="FFFFFF"/>
        </w:rPr>
      </w:pPr>
    </w:p>
    <w:p w14:paraId="7E375F3C" w14:textId="3FC5D00E" w:rsidR="0030248F" w:rsidRPr="007D75CF" w:rsidRDefault="0030248F" w:rsidP="007D75CF">
      <w:pPr>
        <w:spacing w:line="360" w:lineRule="auto"/>
        <w:jc w:val="both"/>
        <w:rPr>
          <w:rFonts w:ascii="Arial" w:hAnsi="Arial" w:cs="Arial"/>
          <w:color w:val="000000"/>
          <w:shd w:val="clear" w:color="auto" w:fill="FFFFFF"/>
        </w:rPr>
      </w:pPr>
      <w:r w:rsidRPr="007D75CF">
        <w:rPr>
          <w:rFonts w:ascii="Arial" w:hAnsi="Arial" w:cs="Arial"/>
          <w:color w:val="000000"/>
          <w:shd w:val="clear" w:color="auto" w:fill="FFFFFF"/>
        </w:rPr>
        <w:t>Reference made to Articles 41.2.1 and Article 41.2.2. Core underlying argument was that certain tax advantages/welfare allowances made to unmarried mothers, was an indivious attack on the marital family. This challenge was rejected in the High Court and the Supreme Court. There was limited direct engagement with the two articles mentioned above. However, Finlay C.J. for the Supreme Court did note,</w:t>
      </w:r>
    </w:p>
    <w:p w14:paraId="22CB91B0" w14:textId="76A0D64A" w:rsidR="0030248F" w:rsidRPr="007D75CF" w:rsidRDefault="0030248F" w:rsidP="007D75CF">
      <w:pPr>
        <w:spacing w:line="360" w:lineRule="auto"/>
        <w:jc w:val="both"/>
        <w:rPr>
          <w:rFonts w:ascii="Arial" w:hAnsi="Arial" w:cs="Arial"/>
          <w:color w:val="000000"/>
          <w:shd w:val="clear" w:color="auto" w:fill="FFFFFF"/>
        </w:rPr>
      </w:pPr>
    </w:p>
    <w:p w14:paraId="0E2E6F77" w14:textId="0FF5DD34" w:rsidR="0030248F" w:rsidRPr="007D75CF" w:rsidRDefault="0030248F" w:rsidP="007D75CF">
      <w:pPr>
        <w:spacing w:line="360" w:lineRule="auto"/>
        <w:ind w:left="720"/>
        <w:jc w:val="both"/>
        <w:rPr>
          <w:rFonts w:ascii="Arial" w:hAnsi="Arial" w:cs="Arial"/>
          <w:color w:val="000000"/>
          <w:shd w:val="clear" w:color="auto" w:fill="FFFFFF"/>
        </w:rPr>
      </w:pPr>
      <w:r w:rsidRPr="007D75CF">
        <w:rPr>
          <w:rFonts w:ascii="Arial" w:hAnsi="Arial" w:cs="Arial"/>
          <w:color w:val="000000"/>
          <w:shd w:val="clear" w:color="auto" w:fill="FFFFFF"/>
        </w:rPr>
        <w:t>“With regard to the provisions of Article 41 of the Constitution, it is clearly conceivable that under certain circumstances statutory provisions, particularly those removing in its entirety financial support for the family, could constitute a breach of the constitutional duty of the State under Article 41. This is not a case in which such a total removal of support or absence of support can be asserted. What is asserted here is that the measure of support over a period has become insufficient.”</w:t>
      </w:r>
    </w:p>
    <w:p w14:paraId="6633D2AE" w14:textId="6D263F4A" w:rsidR="006F2698" w:rsidRPr="007D75CF" w:rsidRDefault="006F2698" w:rsidP="007D75CF">
      <w:pPr>
        <w:spacing w:line="360" w:lineRule="auto"/>
        <w:jc w:val="both"/>
        <w:rPr>
          <w:rFonts w:ascii="Arial" w:hAnsi="Arial" w:cs="Arial"/>
          <w:color w:val="000000"/>
          <w:shd w:val="clear" w:color="auto" w:fill="FFFFFF"/>
        </w:rPr>
      </w:pPr>
    </w:p>
    <w:p w14:paraId="6F56F12B" w14:textId="03A65794" w:rsidR="006F2698" w:rsidRPr="007D75CF" w:rsidRDefault="006F2698" w:rsidP="007D75CF">
      <w:pPr>
        <w:spacing w:line="360" w:lineRule="auto"/>
        <w:jc w:val="both"/>
        <w:rPr>
          <w:rFonts w:ascii="Arial" w:hAnsi="Arial" w:cs="Arial"/>
        </w:rPr>
      </w:pPr>
      <w:r w:rsidRPr="007D75CF">
        <w:rPr>
          <w:rFonts w:ascii="Arial" w:hAnsi="Arial" w:cs="Arial"/>
          <w:color w:val="000000"/>
          <w:shd w:val="clear" w:color="auto" w:fill="FFFFFF"/>
        </w:rPr>
        <w:t xml:space="preserve">See also, </w:t>
      </w:r>
      <w:r w:rsidRPr="007D75CF">
        <w:rPr>
          <w:rFonts w:ascii="Arial" w:hAnsi="Arial" w:cs="Arial"/>
          <w:i/>
          <w:color w:val="000000"/>
          <w:shd w:val="clear" w:color="auto" w:fill="FFFFFF"/>
        </w:rPr>
        <w:t xml:space="preserve">Mhicmathuna v </w:t>
      </w:r>
      <w:r w:rsidR="002E72CF" w:rsidRPr="007D75CF">
        <w:rPr>
          <w:rFonts w:ascii="Arial" w:hAnsi="Arial" w:cs="Arial"/>
          <w:i/>
          <w:color w:val="000000"/>
          <w:shd w:val="clear" w:color="auto" w:fill="FFFFFF"/>
        </w:rPr>
        <w:t>Ireland and the Attorney General</w:t>
      </w:r>
      <w:r w:rsidR="002E72CF" w:rsidRPr="007D75CF">
        <w:rPr>
          <w:rFonts w:ascii="Arial" w:hAnsi="Arial" w:cs="Arial"/>
          <w:color w:val="000000"/>
          <w:shd w:val="clear" w:color="auto" w:fill="FFFFFF"/>
        </w:rPr>
        <w:t xml:space="preserve"> [1989] 1 I.R. 504- High Court decision-however no real engagement with Article 41.2.1 or Article 41.2.2. </w:t>
      </w:r>
    </w:p>
    <w:p w14:paraId="1349CE6B" w14:textId="4308FDC9" w:rsidR="0030248F" w:rsidRPr="007D75CF" w:rsidRDefault="0030248F" w:rsidP="007D75CF">
      <w:pPr>
        <w:spacing w:line="360" w:lineRule="auto"/>
        <w:jc w:val="both"/>
        <w:rPr>
          <w:rFonts w:ascii="Arial" w:hAnsi="Arial" w:cs="Arial"/>
          <w:color w:val="000000"/>
          <w:shd w:val="clear" w:color="auto" w:fill="FFFFFF"/>
        </w:rPr>
      </w:pPr>
    </w:p>
    <w:p w14:paraId="4AFCDBCA" w14:textId="6188B111" w:rsidR="0030248F" w:rsidRPr="007D75CF" w:rsidRDefault="0030248F" w:rsidP="007D75CF">
      <w:pPr>
        <w:spacing w:line="360" w:lineRule="auto"/>
        <w:jc w:val="both"/>
        <w:rPr>
          <w:rFonts w:ascii="Arial" w:hAnsi="Arial" w:cs="Arial"/>
          <w:color w:val="000000"/>
          <w:shd w:val="clear" w:color="auto" w:fill="FFFFFF"/>
        </w:rPr>
      </w:pPr>
    </w:p>
    <w:p w14:paraId="53FDCD77" w14:textId="4C18318F" w:rsidR="0030248F" w:rsidRPr="007D75CF" w:rsidRDefault="0030248F" w:rsidP="007D75CF">
      <w:pPr>
        <w:pStyle w:val="ListParagraph"/>
        <w:numPr>
          <w:ilvl w:val="0"/>
          <w:numId w:val="6"/>
        </w:numPr>
        <w:spacing w:line="360" w:lineRule="auto"/>
        <w:jc w:val="both"/>
        <w:rPr>
          <w:rFonts w:ascii="Arial" w:hAnsi="Arial" w:cs="Arial"/>
          <w:b/>
          <w:color w:val="000000"/>
          <w:shd w:val="clear" w:color="auto" w:fill="FFFFFF"/>
        </w:rPr>
      </w:pPr>
      <w:r w:rsidRPr="007D75CF">
        <w:rPr>
          <w:rFonts w:ascii="Arial" w:hAnsi="Arial" w:cs="Arial"/>
          <w:i/>
          <w:color w:val="000000"/>
          <w:shd w:val="clear" w:color="auto" w:fill="FFFFFF"/>
        </w:rPr>
        <w:t>I</w:t>
      </w:r>
      <w:r w:rsidRPr="007D75CF">
        <w:rPr>
          <w:rFonts w:ascii="Arial" w:hAnsi="Arial" w:cs="Arial"/>
          <w:b/>
          <w:i/>
          <w:color w:val="000000"/>
          <w:shd w:val="clear" w:color="auto" w:fill="FFFFFF"/>
        </w:rPr>
        <w:t>n the matter of Article 26 of the Constitution and in the matter of The Matrimonial Home Bill ,1993</w:t>
      </w:r>
      <w:r w:rsidRPr="007D75CF">
        <w:rPr>
          <w:rFonts w:ascii="Arial" w:hAnsi="Arial" w:cs="Arial"/>
          <w:b/>
          <w:color w:val="000000"/>
          <w:shd w:val="clear" w:color="auto" w:fill="FFFFFF"/>
        </w:rPr>
        <w:t xml:space="preserve"> [1994] 1 I.R. 305. </w:t>
      </w:r>
    </w:p>
    <w:p w14:paraId="4DDBF2BD" w14:textId="09FC208B" w:rsidR="0030248F" w:rsidRPr="007D75CF" w:rsidRDefault="0030248F" w:rsidP="007D75CF">
      <w:pPr>
        <w:spacing w:line="360" w:lineRule="auto"/>
        <w:jc w:val="both"/>
        <w:rPr>
          <w:rFonts w:ascii="Arial" w:hAnsi="Arial" w:cs="Arial"/>
          <w:color w:val="000000"/>
          <w:shd w:val="clear" w:color="auto" w:fill="FFFFFF"/>
        </w:rPr>
      </w:pPr>
    </w:p>
    <w:p w14:paraId="28792CD8" w14:textId="12BB598B" w:rsidR="0030248F" w:rsidRPr="007D75CF" w:rsidRDefault="0030248F" w:rsidP="007D75CF">
      <w:pPr>
        <w:spacing w:line="360" w:lineRule="auto"/>
        <w:jc w:val="both"/>
        <w:rPr>
          <w:rFonts w:ascii="Arial" w:hAnsi="Arial" w:cs="Arial"/>
          <w:color w:val="000000"/>
          <w:shd w:val="clear" w:color="auto" w:fill="FFFFFF"/>
        </w:rPr>
      </w:pPr>
      <w:r w:rsidRPr="007D75CF">
        <w:rPr>
          <w:rFonts w:ascii="Arial" w:hAnsi="Arial" w:cs="Arial"/>
          <w:color w:val="000000"/>
          <w:shd w:val="clear" w:color="auto" w:fill="FFFFFF"/>
        </w:rPr>
        <w:t xml:space="preserve">The Attorney General attempted to argue for the constitutionality of this Bill, with limited reference to Articles 41.2.1 and 41.2.2. (see p. 323). The Court did not fully engage with the issue, seeming to be content that these articles could not remedy the interference with the constitutional marital family. </w:t>
      </w:r>
    </w:p>
    <w:p w14:paraId="6C8C798A" w14:textId="2341ED09" w:rsidR="0030248F" w:rsidRPr="007D75CF" w:rsidRDefault="0030248F" w:rsidP="007D75CF">
      <w:pPr>
        <w:spacing w:line="360" w:lineRule="auto"/>
        <w:jc w:val="both"/>
        <w:rPr>
          <w:rFonts w:ascii="Arial" w:hAnsi="Arial" w:cs="Arial"/>
          <w:color w:val="000000"/>
          <w:shd w:val="clear" w:color="auto" w:fill="FFFFFF"/>
        </w:rPr>
      </w:pPr>
    </w:p>
    <w:p w14:paraId="332F2645" w14:textId="32DC0128" w:rsidR="0030248F" w:rsidRPr="007D75CF" w:rsidRDefault="0030248F" w:rsidP="007D75CF">
      <w:pPr>
        <w:spacing w:line="360" w:lineRule="auto"/>
        <w:jc w:val="both"/>
        <w:rPr>
          <w:rFonts w:ascii="Arial" w:hAnsi="Arial" w:cs="Arial"/>
          <w:b/>
          <w:color w:val="000000"/>
          <w:shd w:val="clear" w:color="auto" w:fill="FFFFFF"/>
        </w:rPr>
      </w:pPr>
    </w:p>
    <w:p w14:paraId="60920B59" w14:textId="76C2E51A" w:rsidR="0030248F" w:rsidRPr="007D75CF" w:rsidRDefault="0030248F" w:rsidP="007D75CF">
      <w:pPr>
        <w:pStyle w:val="ListParagraph"/>
        <w:numPr>
          <w:ilvl w:val="0"/>
          <w:numId w:val="6"/>
        </w:numPr>
        <w:spacing w:line="360" w:lineRule="auto"/>
        <w:jc w:val="both"/>
        <w:rPr>
          <w:rFonts w:ascii="Arial" w:hAnsi="Arial" w:cs="Arial"/>
          <w:b/>
          <w:color w:val="000000"/>
          <w:shd w:val="clear" w:color="auto" w:fill="FFFFFF"/>
        </w:rPr>
      </w:pPr>
      <w:r w:rsidRPr="007D75CF">
        <w:rPr>
          <w:rFonts w:ascii="Arial" w:hAnsi="Arial" w:cs="Arial"/>
          <w:b/>
          <w:i/>
          <w:color w:val="000000"/>
          <w:shd w:val="clear" w:color="auto" w:fill="FFFFFF"/>
        </w:rPr>
        <w:t>L v L</w:t>
      </w:r>
      <w:r w:rsidRPr="007D75CF">
        <w:rPr>
          <w:rFonts w:ascii="Arial" w:hAnsi="Arial" w:cs="Arial"/>
          <w:b/>
          <w:color w:val="000000"/>
          <w:shd w:val="clear" w:color="auto" w:fill="FFFFFF"/>
        </w:rPr>
        <w:t xml:space="preserve"> [1992] 2 I.R. 77 (matrimonial property and ownership)</w:t>
      </w:r>
    </w:p>
    <w:p w14:paraId="27FBA358" w14:textId="1492AEBE" w:rsidR="0030248F" w:rsidRPr="007D75CF" w:rsidRDefault="0030248F" w:rsidP="007D75CF">
      <w:pPr>
        <w:spacing w:line="360" w:lineRule="auto"/>
        <w:jc w:val="both"/>
        <w:rPr>
          <w:rFonts w:ascii="Arial" w:hAnsi="Arial" w:cs="Arial"/>
          <w:color w:val="000000"/>
          <w:shd w:val="clear" w:color="auto" w:fill="FFFFFF"/>
        </w:rPr>
      </w:pPr>
    </w:p>
    <w:p w14:paraId="4BE41F02" w14:textId="13839223" w:rsidR="00B31CFB" w:rsidRPr="007D75CF" w:rsidRDefault="0030248F" w:rsidP="007D75CF">
      <w:pPr>
        <w:spacing w:line="360" w:lineRule="auto"/>
        <w:jc w:val="both"/>
        <w:rPr>
          <w:rFonts w:ascii="Arial" w:hAnsi="Arial" w:cs="Arial"/>
          <w:color w:val="000000"/>
          <w:shd w:val="clear" w:color="auto" w:fill="FFFFFF"/>
        </w:rPr>
      </w:pPr>
      <w:r w:rsidRPr="007D75CF">
        <w:rPr>
          <w:rFonts w:ascii="Arial" w:hAnsi="Arial" w:cs="Arial"/>
          <w:color w:val="000000"/>
          <w:shd w:val="clear" w:color="auto" w:fill="FFFFFF"/>
        </w:rPr>
        <w:lastRenderedPageBreak/>
        <w:t>Barr J.</w:t>
      </w:r>
      <w:r w:rsidR="00B31CFB" w:rsidRPr="007D75CF">
        <w:rPr>
          <w:rFonts w:ascii="Arial" w:hAnsi="Arial" w:cs="Arial"/>
          <w:color w:val="000000"/>
          <w:shd w:val="clear" w:color="auto" w:fill="FFFFFF"/>
        </w:rPr>
        <w:t xml:space="preserve"> (at p. 99)</w:t>
      </w:r>
      <w:r w:rsidRPr="007D75CF">
        <w:rPr>
          <w:rFonts w:ascii="Arial" w:hAnsi="Arial" w:cs="Arial"/>
          <w:color w:val="000000"/>
          <w:shd w:val="clear" w:color="auto" w:fill="FFFFFF"/>
        </w:rPr>
        <w:t xml:space="preserve"> in the High Court stated that since a mother in the home gives up opportunities for paid employment, </w:t>
      </w:r>
      <w:r w:rsidR="00B31CFB" w:rsidRPr="007D75CF">
        <w:rPr>
          <w:rFonts w:ascii="Arial" w:hAnsi="Arial" w:cs="Arial"/>
          <w:color w:val="000000"/>
          <w:shd w:val="clear" w:color="auto" w:fill="FFFFFF"/>
        </w:rPr>
        <w:t>“her work as home-maker and in caring for the family should be taken into account in calculating her contribution towards that acquisition - particularly as such work is of real monetary value.”</w:t>
      </w:r>
    </w:p>
    <w:p w14:paraId="398A148B" w14:textId="0142EB72" w:rsidR="00B31CFB" w:rsidRPr="007D75CF" w:rsidRDefault="00B31CFB" w:rsidP="007D75CF">
      <w:pPr>
        <w:spacing w:line="360" w:lineRule="auto"/>
        <w:jc w:val="both"/>
        <w:rPr>
          <w:rFonts w:ascii="Arial" w:hAnsi="Arial" w:cs="Arial"/>
          <w:color w:val="000000"/>
          <w:shd w:val="clear" w:color="auto" w:fill="FFFFFF"/>
        </w:rPr>
      </w:pPr>
    </w:p>
    <w:p w14:paraId="7F4F2ACF" w14:textId="1A12AAE0" w:rsidR="00B31CFB" w:rsidRPr="007D75CF" w:rsidRDefault="00B31CFB" w:rsidP="007D75CF">
      <w:pPr>
        <w:spacing w:line="360" w:lineRule="auto"/>
        <w:jc w:val="both"/>
        <w:rPr>
          <w:rFonts w:ascii="Arial" w:hAnsi="Arial" w:cs="Arial"/>
          <w:color w:val="000000"/>
          <w:shd w:val="clear" w:color="auto" w:fill="FFFFFF"/>
        </w:rPr>
      </w:pPr>
      <w:r w:rsidRPr="007D75CF">
        <w:rPr>
          <w:rFonts w:ascii="Arial" w:hAnsi="Arial" w:cs="Arial"/>
          <w:color w:val="000000"/>
          <w:shd w:val="clear" w:color="auto" w:fill="FFFFFF"/>
        </w:rPr>
        <w:t>At p. 100, Barr J. continued,</w:t>
      </w:r>
    </w:p>
    <w:p w14:paraId="59321323" w14:textId="711515A8" w:rsidR="00B31CFB" w:rsidRPr="007D75CF" w:rsidRDefault="00B31CFB" w:rsidP="007D75CF">
      <w:pPr>
        <w:spacing w:line="360" w:lineRule="auto"/>
        <w:jc w:val="both"/>
        <w:rPr>
          <w:rFonts w:ascii="Arial" w:hAnsi="Arial" w:cs="Arial"/>
          <w:color w:val="000000"/>
          <w:shd w:val="clear" w:color="auto" w:fill="FFFFFF"/>
        </w:rPr>
      </w:pPr>
    </w:p>
    <w:p w14:paraId="38EBAF06" w14:textId="16AC7F34" w:rsidR="00B31CFB" w:rsidRPr="007D75CF" w:rsidRDefault="00B31CFB" w:rsidP="007D75CF">
      <w:pPr>
        <w:spacing w:line="360" w:lineRule="auto"/>
        <w:ind w:left="720"/>
        <w:jc w:val="both"/>
        <w:rPr>
          <w:rFonts w:ascii="Arial" w:hAnsi="Arial" w:cs="Arial"/>
          <w:color w:val="000000"/>
          <w:shd w:val="clear" w:color="auto" w:fill="FFFFFF"/>
        </w:rPr>
      </w:pPr>
      <w:r w:rsidRPr="007D75CF">
        <w:rPr>
          <w:rFonts w:ascii="Arial" w:hAnsi="Arial" w:cs="Arial"/>
          <w:color w:val="000000"/>
          <w:shd w:val="clear" w:color="auto" w:fill="FFFFFF"/>
        </w:rPr>
        <w:t>“…women without independent means who adopt the role of full-time mother in accordance with the philosophy of Article 41 receive no credit under existing law for their labours in the home however devoted they may have been and for however long they may have continued. It seems to me that if effect is to be given to the spirit and objective of Article 41 as to the status of the mother and her crucial role within the family unit, then in assessing her contribution to the acquisition by the husband of the family home and/or furnishings at or about the time of or subsequent to the marriage, regard must be had to the value of her work in the home. It should be measured by the court in the light of its nature, quality and duration. I take the view that in making that assessment, the course which the court should adopt is to measure the wife's beneficial interest in such family property arising out of her work in the home in percentage terms of ownership as between husband and wife and, bearing in mind that because marriage is an equal partnership, the wife's entitlement so derived ought not to exceed 50% of ownership unless there are exceptional circumstances which justify assessing her beneficial interest in the family home as being greater than that of the husband.”</w:t>
      </w:r>
    </w:p>
    <w:p w14:paraId="7298A290" w14:textId="64A162C0" w:rsidR="00B31CFB" w:rsidRPr="007D75CF" w:rsidRDefault="00B31CFB" w:rsidP="007D75CF">
      <w:pPr>
        <w:spacing w:line="360" w:lineRule="auto"/>
        <w:jc w:val="both"/>
        <w:rPr>
          <w:rFonts w:ascii="Arial" w:hAnsi="Arial" w:cs="Arial"/>
          <w:color w:val="000000"/>
          <w:shd w:val="clear" w:color="auto" w:fill="FFFFFF"/>
        </w:rPr>
      </w:pPr>
    </w:p>
    <w:p w14:paraId="1D3C8937" w14:textId="71B9FE02" w:rsidR="00B31CFB" w:rsidRPr="007D75CF" w:rsidRDefault="00B31CFB" w:rsidP="007D75CF">
      <w:pPr>
        <w:spacing w:line="360" w:lineRule="auto"/>
        <w:jc w:val="both"/>
        <w:rPr>
          <w:rFonts w:ascii="Arial" w:hAnsi="Arial" w:cs="Arial"/>
          <w:color w:val="000000"/>
          <w:shd w:val="clear" w:color="auto" w:fill="FFFFFF"/>
        </w:rPr>
      </w:pPr>
      <w:r w:rsidRPr="007D75CF">
        <w:rPr>
          <w:rFonts w:ascii="Arial" w:hAnsi="Arial" w:cs="Arial"/>
          <w:color w:val="000000"/>
          <w:shd w:val="clear" w:color="auto" w:fill="FFFFFF"/>
        </w:rPr>
        <w:t xml:space="preserve">However, the Supreme Court overturned this decision. Finlay CJ, while agreeing with the public policy approach of Barr J. nevertheless noted caution where (at p. 107), </w:t>
      </w:r>
    </w:p>
    <w:p w14:paraId="6E84E620" w14:textId="77777777" w:rsidR="00B31CFB" w:rsidRPr="007D75CF" w:rsidRDefault="00B31CFB" w:rsidP="007D75CF">
      <w:pPr>
        <w:spacing w:line="360" w:lineRule="auto"/>
        <w:jc w:val="both"/>
        <w:rPr>
          <w:rFonts w:ascii="Arial" w:hAnsi="Arial" w:cs="Arial"/>
          <w:color w:val="000000"/>
          <w:shd w:val="clear" w:color="auto" w:fill="FFFFFF"/>
        </w:rPr>
      </w:pPr>
    </w:p>
    <w:p w14:paraId="4BA957EE" w14:textId="3668D374" w:rsidR="00B31CFB" w:rsidRPr="007D75CF" w:rsidRDefault="00B31CFB" w:rsidP="007D75CF">
      <w:pPr>
        <w:spacing w:line="360" w:lineRule="auto"/>
        <w:ind w:left="720"/>
        <w:jc w:val="both"/>
        <w:rPr>
          <w:rFonts w:ascii="Arial" w:hAnsi="Arial" w:cs="Arial"/>
        </w:rPr>
      </w:pPr>
      <w:r w:rsidRPr="007D75CF">
        <w:rPr>
          <w:rFonts w:ascii="Arial" w:hAnsi="Arial" w:cs="Arial"/>
          <w:color w:val="000000"/>
          <w:shd w:val="clear" w:color="auto" w:fill="FFFFFF"/>
        </w:rPr>
        <w:t>“to identify this right in the circumstances set out in this case is not to develop any known principle of the common law, but is rather to identify a brand new right and to secure it to the plaintiff Unless that is something clearly and unambiguously warranted by the Constitution or made necessary for the protection of either a specified or unspecified right under it, it must constitute legislation and be a usurpation by the courts of the function of the legislature.”</w:t>
      </w:r>
    </w:p>
    <w:p w14:paraId="1E564415" w14:textId="07527842" w:rsidR="00B31CFB" w:rsidRPr="007D75CF" w:rsidRDefault="00B31CFB" w:rsidP="007D75CF">
      <w:pPr>
        <w:spacing w:line="360" w:lineRule="auto"/>
        <w:jc w:val="both"/>
        <w:rPr>
          <w:rFonts w:ascii="Arial" w:hAnsi="Arial" w:cs="Arial"/>
        </w:rPr>
      </w:pPr>
    </w:p>
    <w:p w14:paraId="5B77225F" w14:textId="6971669A" w:rsidR="00B31CFB" w:rsidRPr="007D75CF" w:rsidRDefault="00B31CFB" w:rsidP="007D75CF">
      <w:pPr>
        <w:spacing w:line="360" w:lineRule="auto"/>
        <w:jc w:val="both"/>
        <w:rPr>
          <w:rFonts w:ascii="Arial" w:hAnsi="Arial" w:cs="Arial"/>
        </w:rPr>
      </w:pPr>
      <w:r w:rsidRPr="007D75CF">
        <w:rPr>
          <w:rFonts w:ascii="Arial" w:hAnsi="Arial" w:cs="Arial"/>
        </w:rPr>
        <w:t>Finlay C.J. continued at p. 108, stating categorically that  Article 41.2.1 and Article 41.2.2  provides “</w:t>
      </w:r>
      <w:r w:rsidRPr="007D75CF">
        <w:rPr>
          <w:rFonts w:ascii="Arial" w:hAnsi="Arial" w:cs="Arial"/>
          <w:color w:val="000000"/>
          <w:shd w:val="clear" w:color="auto" w:fill="FFFFFF"/>
        </w:rPr>
        <w:t>no warrant for interpreting that duty on the judiciary as granting to it jurisdiction to award to a wife and mother any particular interest in the family home, where that would be unrelated to the question of her being obliged by economic necessity to engage in labour to the neglect of her duties.”</w:t>
      </w:r>
    </w:p>
    <w:p w14:paraId="01DC3440" w14:textId="0A703D8D" w:rsidR="00B31CFB" w:rsidRPr="007D75CF" w:rsidRDefault="00B31CFB" w:rsidP="007D75CF">
      <w:pPr>
        <w:spacing w:line="360" w:lineRule="auto"/>
        <w:jc w:val="both"/>
        <w:rPr>
          <w:rFonts w:ascii="Arial" w:hAnsi="Arial" w:cs="Arial"/>
          <w:color w:val="000000"/>
          <w:shd w:val="clear" w:color="auto" w:fill="FFFFFF"/>
        </w:rPr>
      </w:pPr>
    </w:p>
    <w:p w14:paraId="0EF60798" w14:textId="66D9BF2E" w:rsidR="00B31CFB" w:rsidRPr="007D75CF" w:rsidRDefault="00B31CFB" w:rsidP="007D75CF">
      <w:pPr>
        <w:spacing w:line="360" w:lineRule="auto"/>
        <w:jc w:val="both"/>
        <w:rPr>
          <w:rFonts w:ascii="Arial" w:hAnsi="Arial" w:cs="Arial"/>
        </w:rPr>
      </w:pPr>
      <w:r w:rsidRPr="007D75CF">
        <w:rPr>
          <w:rFonts w:ascii="Arial" w:hAnsi="Arial" w:cs="Arial"/>
          <w:color w:val="000000"/>
          <w:shd w:val="clear" w:color="auto" w:fill="FFFFFF"/>
        </w:rPr>
        <w:t xml:space="preserve">McCarthy J. at p. 111 stated that the guarantees in </w:t>
      </w:r>
      <w:r w:rsidRPr="007D75CF">
        <w:rPr>
          <w:rFonts w:ascii="Arial" w:hAnsi="Arial" w:cs="Arial"/>
        </w:rPr>
        <w:t xml:space="preserve">Article 41.2.1 and Article 41.2.2   </w:t>
      </w:r>
      <w:r w:rsidR="006F2698" w:rsidRPr="007D75CF">
        <w:rPr>
          <w:rFonts w:ascii="Arial" w:hAnsi="Arial" w:cs="Arial"/>
        </w:rPr>
        <w:t xml:space="preserve">are not necessarily restricted to mothers within a marital family (p. 111). </w:t>
      </w:r>
      <w:r w:rsidRPr="007D75CF">
        <w:rPr>
          <w:rFonts w:ascii="Arial" w:hAnsi="Arial" w:cs="Arial"/>
        </w:rPr>
        <w:t xml:space="preserve"> </w:t>
      </w:r>
      <w:r w:rsidR="006F2698" w:rsidRPr="007D75CF">
        <w:rPr>
          <w:rFonts w:ascii="Arial" w:hAnsi="Arial" w:cs="Arial"/>
        </w:rPr>
        <w:t xml:space="preserve">However, Barr J. attempted to make a constitutional “quantum leap” by utilising these articles to provide a person with a property right by virtue of their status as mother. </w:t>
      </w:r>
    </w:p>
    <w:p w14:paraId="4A882419" w14:textId="63DDAB7F" w:rsidR="006F2698" w:rsidRPr="007D75CF" w:rsidRDefault="006F2698" w:rsidP="007D75CF">
      <w:pPr>
        <w:spacing w:line="360" w:lineRule="auto"/>
        <w:jc w:val="both"/>
        <w:rPr>
          <w:rFonts w:ascii="Arial" w:hAnsi="Arial" w:cs="Arial"/>
        </w:rPr>
      </w:pPr>
    </w:p>
    <w:p w14:paraId="4A090DDD" w14:textId="0DDFA4BE" w:rsidR="006F2698" w:rsidRPr="007D75CF" w:rsidRDefault="006F2698" w:rsidP="007D75CF">
      <w:pPr>
        <w:spacing w:line="360" w:lineRule="auto"/>
        <w:jc w:val="both"/>
        <w:rPr>
          <w:rFonts w:ascii="Arial" w:hAnsi="Arial" w:cs="Arial"/>
        </w:rPr>
      </w:pPr>
      <w:r w:rsidRPr="007D75CF">
        <w:rPr>
          <w:rFonts w:ascii="Arial" w:hAnsi="Arial" w:cs="Arial"/>
        </w:rPr>
        <w:t xml:space="preserve">O’Flaherty J. (at p  112) stated that these articles could not impact on property rights, however did note, </w:t>
      </w:r>
    </w:p>
    <w:p w14:paraId="57BFC8AA" w14:textId="73821213" w:rsidR="006F2698" w:rsidRPr="007D75CF" w:rsidRDefault="006F2698" w:rsidP="007D75CF">
      <w:pPr>
        <w:spacing w:line="360" w:lineRule="auto"/>
        <w:jc w:val="both"/>
        <w:rPr>
          <w:rFonts w:ascii="Arial" w:hAnsi="Arial" w:cs="Arial"/>
        </w:rPr>
      </w:pPr>
    </w:p>
    <w:p w14:paraId="2B1C45B2" w14:textId="7DB12818" w:rsidR="006F2698" w:rsidRPr="007D75CF" w:rsidRDefault="006F2698" w:rsidP="007D75CF">
      <w:pPr>
        <w:spacing w:line="360" w:lineRule="auto"/>
        <w:ind w:left="720"/>
        <w:jc w:val="both"/>
        <w:rPr>
          <w:rFonts w:ascii="Arial" w:hAnsi="Arial" w:cs="Arial"/>
        </w:rPr>
      </w:pPr>
      <w:r w:rsidRPr="007D75CF">
        <w:rPr>
          <w:rFonts w:ascii="Arial" w:hAnsi="Arial" w:cs="Arial"/>
          <w:color w:val="000000"/>
          <w:shd w:val="clear" w:color="auto" w:fill="FFFFFF"/>
        </w:rPr>
        <w:t>“If a mother in dire economic straits were to invoke this Article it would be no answer for the State to say that it did not have to make any effort in her regard at all, though it would be open for it to say that it was doing its best having regard to the State's overall budgetary situation.”</w:t>
      </w:r>
    </w:p>
    <w:p w14:paraId="5FFC4774" w14:textId="77777777" w:rsidR="006F2698" w:rsidRPr="007D75CF" w:rsidRDefault="006F2698" w:rsidP="007D75CF">
      <w:pPr>
        <w:spacing w:line="360" w:lineRule="auto"/>
        <w:jc w:val="both"/>
        <w:rPr>
          <w:rFonts w:ascii="Arial" w:hAnsi="Arial" w:cs="Arial"/>
        </w:rPr>
      </w:pPr>
    </w:p>
    <w:p w14:paraId="44A65A96" w14:textId="77777777" w:rsidR="00B31CFB" w:rsidRPr="007D75CF" w:rsidRDefault="00B31CFB" w:rsidP="007D75CF">
      <w:pPr>
        <w:spacing w:line="360" w:lineRule="auto"/>
        <w:jc w:val="both"/>
        <w:rPr>
          <w:rFonts w:ascii="Arial" w:hAnsi="Arial" w:cs="Arial"/>
        </w:rPr>
      </w:pPr>
    </w:p>
    <w:p w14:paraId="50ECB61B" w14:textId="56917763" w:rsidR="00B31CFB" w:rsidRPr="007D75CF" w:rsidRDefault="006F2698" w:rsidP="007D75CF">
      <w:pPr>
        <w:spacing w:line="360" w:lineRule="auto"/>
        <w:jc w:val="both"/>
        <w:rPr>
          <w:rFonts w:ascii="Arial" w:hAnsi="Arial" w:cs="Arial"/>
        </w:rPr>
      </w:pPr>
      <w:r w:rsidRPr="007D75CF">
        <w:rPr>
          <w:rFonts w:ascii="Arial" w:hAnsi="Arial" w:cs="Arial"/>
        </w:rPr>
        <w:t>Egan J. states (at pp114-115) that Article 41.2.1 cannot be seen as providing a property right to a ‘mother’. No positive obligation emerges from Article 41.2.1. but rather “[i]t voices a "recognition" and, in my opinion, is really a prelude to explain the positive obligation in [Article 41.2.1] which provides that the State shall, therefore ,</w:t>
      </w:r>
      <w:r w:rsidRPr="007D75CF">
        <w:rPr>
          <w:rFonts w:ascii="Arial" w:hAnsi="Arial" w:cs="Arial"/>
          <w:i/>
        </w:rPr>
        <w:t>endeavour</w:t>
      </w:r>
      <w:r w:rsidRPr="007D75CF">
        <w:rPr>
          <w:rFonts w:ascii="Arial" w:hAnsi="Arial" w:cs="Arial"/>
        </w:rPr>
        <w:t xml:space="preserve"> etc. (emphasis in original). </w:t>
      </w:r>
    </w:p>
    <w:p w14:paraId="76710C2C" w14:textId="1F7A6DC8" w:rsidR="006F2698" w:rsidRPr="007D75CF" w:rsidRDefault="006F2698" w:rsidP="007D75CF">
      <w:pPr>
        <w:spacing w:line="360" w:lineRule="auto"/>
        <w:jc w:val="both"/>
        <w:rPr>
          <w:rFonts w:ascii="Arial" w:hAnsi="Arial" w:cs="Arial"/>
        </w:rPr>
      </w:pPr>
    </w:p>
    <w:p w14:paraId="36D26128" w14:textId="3FE60AA8" w:rsidR="002E72CF" w:rsidRPr="007D75CF" w:rsidRDefault="002E72CF" w:rsidP="007D75CF">
      <w:pPr>
        <w:spacing w:line="360" w:lineRule="auto"/>
        <w:jc w:val="both"/>
        <w:rPr>
          <w:rFonts w:ascii="Arial" w:hAnsi="Arial" w:cs="Arial"/>
        </w:rPr>
      </w:pPr>
    </w:p>
    <w:p w14:paraId="7733A1AD" w14:textId="38BC556D" w:rsidR="002E72CF" w:rsidRPr="007D75CF" w:rsidRDefault="002E72CF" w:rsidP="007D75CF">
      <w:pPr>
        <w:pStyle w:val="ListParagraph"/>
        <w:numPr>
          <w:ilvl w:val="0"/>
          <w:numId w:val="6"/>
        </w:numPr>
        <w:spacing w:line="360" w:lineRule="auto"/>
        <w:jc w:val="both"/>
        <w:rPr>
          <w:rFonts w:ascii="Arial" w:hAnsi="Arial" w:cs="Arial"/>
          <w:b/>
        </w:rPr>
      </w:pPr>
      <w:r w:rsidRPr="007D75CF">
        <w:rPr>
          <w:rFonts w:ascii="Arial" w:hAnsi="Arial" w:cs="Arial"/>
          <w:b/>
          <w:i/>
        </w:rPr>
        <w:t>Hyland v Minister for Social Welfare</w:t>
      </w:r>
      <w:r w:rsidRPr="007D75CF">
        <w:rPr>
          <w:rFonts w:ascii="Arial" w:hAnsi="Arial" w:cs="Arial"/>
          <w:b/>
        </w:rPr>
        <w:t xml:space="preserve"> [1989] 1 I.R. 624 (social welfare, equality, marital family).</w:t>
      </w:r>
    </w:p>
    <w:p w14:paraId="5FA4B8F6" w14:textId="4D589367" w:rsidR="002E72CF" w:rsidRPr="007D75CF" w:rsidRDefault="002E72CF" w:rsidP="007D75CF">
      <w:pPr>
        <w:spacing w:line="360" w:lineRule="auto"/>
        <w:jc w:val="both"/>
        <w:rPr>
          <w:rFonts w:ascii="Arial" w:hAnsi="Arial" w:cs="Arial"/>
        </w:rPr>
      </w:pPr>
    </w:p>
    <w:p w14:paraId="5A1BAEAF" w14:textId="704ED66C" w:rsidR="002E72CF" w:rsidRPr="007D75CF" w:rsidRDefault="002E72CF" w:rsidP="007D75CF">
      <w:pPr>
        <w:spacing w:line="360" w:lineRule="auto"/>
        <w:jc w:val="both"/>
        <w:rPr>
          <w:rFonts w:ascii="Arial" w:hAnsi="Arial" w:cs="Arial"/>
        </w:rPr>
      </w:pPr>
      <w:r w:rsidRPr="007D75CF">
        <w:rPr>
          <w:rFonts w:ascii="Arial" w:hAnsi="Arial" w:cs="Arial"/>
        </w:rPr>
        <w:t>Articles 41.2.1 and Article 41.2.2 arose incidentially in these cases. Barrington J. stated (at p. 639),</w:t>
      </w:r>
    </w:p>
    <w:p w14:paraId="1B84DEC1" w14:textId="53624CC8" w:rsidR="002E72CF" w:rsidRPr="007D75CF" w:rsidRDefault="002E72CF" w:rsidP="007D75CF">
      <w:pPr>
        <w:spacing w:line="360" w:lineRule="auto"/>
        <w:jc w:val="both"/>
        <w:rPr>
          <w:rFonts w:ascii="Arial" w:hAnsi="Arial" w:cs="Arial"/>
        </w:rPr>
      </w:pPr>
    </w:p>
    <w:p w14:paraId="2B7B2BEE" w14:textId="5B764332" w:rsidR="002E72CF" w:rsidRPr="007D75CF" w:rsidRDefault="002E72CF" w:rsidP="007D75CF">
      <w:pPr>
        <w:spacing w:line="360" w:lineRule="auto"/>
        <w:ind w:left="720"/>
        <w:jc w:val="both"/>
        <w:rPr>
          <w:rFonts w:ascii="Arial" w:hAnsi="Arial" w:cs="Arial"/>
          <w:color w:val="000000"/>
          <w:shd w:val="clear" w:color="auto" w:fill="FFFFFF"/>
        </w:rPr>
      </w:pPr>
      <w:r w:rsidRPr="007D75CF">
        <w:rPr>
          <w:rFonts w:ascii="Arial" w:hAnsi="Arial" w:cs="Arial"/>
          <w:color w:val="000000"/>
          <w:shd w:val="clear" w:color="auto" w:fill="FFFFFF"/>
        </w:rPr>
        <w:lastRenderedPageBreak/>
        <w:t>“The obligation cast on the State by Article 41, s. 2, sub-s. 2 does not appear to be of the same order. Of course the duty placed on the State by Article 41, s. 2, sub-s. 2, like all constitutional duties, is important but it appears to be a duty of imperfect obligation and would not justify the State breaking the pledge it gives under Article 41, section 3.”</w:t>
      </w:r>
    </w:p>
    <w:p w14:paraId="62FCBC7D" w14:textId="14D7F3C2" w:rsidR="002E72CF" w:rsidRPr="007D75CF" w:rsidRDefault="002E72CF" w:rsidP="007D75CF">
      <w:pPr>
        <w:spacing w:line="360" w:lineRule="auto"/>
        <w:jc w:val="both"/>
        <w:rPr>
          <w:rFonts w:ascii="Arial" w:hAnsi="Arial" w:cs="Arial"/>
          <w:color w:val="000000"/>
          <w:shd w:val="clear" w:color="auto" w:fill="FFFFFF"/>
        </w:rPr>
      </w:pPr>
    </w:p>
    <w:p w14:paraId="3BAF25FB" w14:textId="13165D18" w:rsidR="002E72CF" w:rsidRPr="007D75CF" w:rsidRDefault="002E72CF" w:rsidP="007D75CF">
      <w:pPr>
        <w:spacing w:line="360" w:lineRule="auto"/>
        <w:jc w:val="both"/>
        <w:rPr>
          <w:rFonts w:ascii="Arial" w:hAnsi="Arial" w:cs="Arial"/>
          <w:color w:val="000000"/>
          <w:shd w:val="clear" w:color="auto" w:fill="FFFFFF"/>
        </w:rPr>
      </w:pPr>
      <w:r w:rsidRPr="007D75CF">
        <w:rPr>
          <w:rFonts w:ascii="Arial" w:hAnsi="Arial" w:cs="Arial"/>
          <w:color w:val="000000"/>
          <w:shd w:val="clear" w:color="auto" w:fill="FFFFFF"/>
        </w:rPr>
        <w:t xml:space="preserve">The provisions were not engaged with on appeal by the Supreme Court. </w:t>
      </w:r>
    </w:p>
    <w:p w14:paraId="5BFE0BFA" w14:textId="3C1E60BE" w:rsidR="002E72CF" w:rsidRPr="007D75CF" w:rsidRDefault="002E72CF" w:rsidP="007D75CF">
      <w:pPr>
        <w:spacing w:line="360" w:lineRule="auto"/>
        <w:jc w:val="both"/>
        <w:rPr>
          <w:rFonts w:ascii="Arial" w:hAnsi="Arial" w:cs="Arial"/>
          <w:color w:val="000000"/>
          <w:shd w:val="clear" w:color="auto" w:fill="FFFFFF"/>
        </w:rPr>
      </w:pPr>
    </w:p>
    <w:p w14:paraId="7D28771C" w14:textId="77777777" w:rsidR="002E72CF" w:rsidRPr="007D75CF" w:rsidRDefault="002E72CF" w:rsidP="007D75CF">
      <w:pPr>
        <w:spacing w:line="360" w:lineRule="auto"/>
        <w:jc w:val="both"/>
        <w:rPr>
          <w:rFonts w:ascii="Arial" w:hAnsi="Arial" w:cs="Arial"/>
        </w:rPr>
      </w:pPr>
    </w:p>
    <w:p w14:paraId="43075FAF" w14:textId="77777777" w:rsidR="006F2698" w:rsidRPr="007D75CF" w:rsidRDefault="006F2698" w:rsidP="007D75CF">
      <w:pPr>
        <w:spacing w:line="360" w:lineRule="auto"/>
        <w:jc w:val="both"/>
        <w:rPr>
          <w:rFonts w:ascii="Arial" w:hAnsi="Arial" w:cs="Arial"/>
        </w:rPr>
      </w:pPr>
    </w:p>
    <w:p w14:paraId="2FF8D71D" w14:textId="4094D419" w:rsidR="00B31CFB" w:rsidRPr="007D75CF" w:rsidRDefault="00B31CFB" w:rsidP="007D75CF">
      <w:pPr>
        <w:pStyle w:val="ListParagraph"/>
        <w:numPr>
          <w:ilvl w:val="0"/>
          <w:numId w:val="6"/>
        </w:numPr>
        <w:spacing w:line="360" w:lineRule="auto"/>
        <w:jc w:val="both"/>
        <w:rPr>
          <w:rStyle w:val="Emphasis"/>
          <w:rFonts w:ascii="Arial" w:hAnsi="Arial" w:cs="Arial"/>
          <w:b/>
          <w:i w:val="0"/>
          <w:color w:val="000000"/>
          <w:bdr w:val="none" w:sz="0" w:space="0" w:color="auto" w:frame="1"/>
          <w:shd w:val="clear" w:color="auto" w:fill="FFFFFF"/>
        </w:rPr>
      </w:pPr>
      <w:r w:rsidRPr="007D75CF">
        <w:rPr>
          <w:rStyle w:val="Emphasis"/>
          <w:rFonts w:ascii="Arial" w:hAnsi="Arial" w:cs="Arial"/>
          <w:b/>
          <w:color w:val="000000"/>
          <w:bdr w:val="none" w:sz="0" w:space="0" w:color="auto" w:frame="1"/>
          <w:shd w:val="clear" w:color="auto" w:fill="FFFFFF"/>
        </w:rPr>
        <w:t>H. v. H</w:t>
      </w:r>
      <w:r w:rsidRPr="007D75CF">
        <w:rPr>
          <w:rStyle w:val="Emphasis"/>
          <w:rFonts w:ascii="Arial" w:hAnsi="Arial" w:cs="Arial"/>
          <w:b/>
          <w:i w:val="0"/>
          <w:color w:val="000000"/>
          <w:bdr w:val="none" w:sz="0" w:space="0" w:color="auto" w:frame="1"/>
          <w:shd w:val="clear" w:color="auto" w:fill="FFFFFF"/>
        </w:rPr>
        <w:t xml:space="preserve">, </w:t>
      </w:r>
      <w:r w:rsidR="006F2698" w:rsidRPr="007D75CF">
        <w:rPr>
          <w:rStyle w:val="Emphasis"/>
          <w:rFonts w:ascii="Arial" w:hAnsi="Arial" w:cs="Arial"/>
          <w:b/>
          <w:color w:val="000000"/>
          <w:bdr w:val="none" w:sz="0" w:space="0" w:color="auto" w:frame="1"/>
          <w:shd w:val="clear" w:color="auto" w:fill="FFFFFF"/>
        </w:rPr>
        <w:t xml:space="preserve">ex tempore </w:t>
      </w:r>
      <w:r w:rsidRPr="007D75CF">
        <w:rPr>
          <w:rStyle w:val="Emphasis"/>
          <w:rFonts w:ascii="Arial" w:hAnsi="Arial" w:cs="Arial"/>
          <w:b/>
          <w:i w:val="0"/>
          <w:color w:val="000000"/>
          <w:bdr w:val="none" w:sz="0" w:space="0" w:color="auto" w:frame="1"/>
          <w:shd w:val="clear" w:color="auto" w:fill="FFFFFF"/>
        </w:rPr>
        <w:t>unreported judgment of Barrington J., 20 June 1986 (family home)</w:t>
      </w:r>
    </w:p>
    <w:p w14:paraId="12DC9401" w14:textId="3326B1D9" w:rsidR="00B31CFB" w:rsidRPr="007D75CF" w:rsidRDefault="00B31CFB" w:rsidP="007D75CF">
      <w:pPr>
        <w:spacing w:line="360" w:lineRule="auto"/>
        <w:jc w:val="both"/>
        <w:rPr>
          <w:rStyle w:val="Emphasis"/>
          <w:rFonts w:ascii="Arial" w:hAnsi="Arial" w:cs="Arial"/>
          <w:i w:val="0"/>
          <w:color w:val="000000"/>
          <w:bdr w:val="none" w:sz="0" w:space="0" w:color="auto" w:frame="1"/>
          <w:shd w:val="clear" w:color="auto" w:fill="FFFFFF"/>
        </w:rPr>
      </w:pPr>
    </w:p>
    <w:p w14:paraId="6E81903F" w14:textId="0C1E99A0" w:rsidR="00B31CFB" w:rsidRPr="007D75CF" w:rsidRDefault="00B31CFB" w:rsidP="007D75CF">
      <w:pPr>
        <w:spacing w:line="360" w:lineRule="auto"/>
        <w:jc w:val="both"/>
        <w:rPr>
          <w:rStyle w:val="Emphasis"/>
          <w:rFonts w:ascii="Arial" w:hAnsi="Arial" w:cs="Arial"/>
          <w:i w:val="0"/>
          <w:color w:val="000000"/>
          <w:bdr w:val="none" w:sz="0" w:space="0" w:color="auto" w:frame="1"/>
          <w:shd w:val="clear" w:color="auto" w:fill="FFFFFF"/>
        </w:rPr>
      </w:pPr>
      <w:r w:rsidRPr="007D75CF">
        <w:rPr>
          <w:rStyle w:val="Emphasis"/>
          <w:rFonts w:ascii="Arial" w:hAnsi="Arial" w:cs="Arial"/>
          <w:i w:val="0"/>
          <w:color w:val="000000"/>
          <w:bdr w:val="none" w:sz="0" w:space="0" w:color="auto" w:frame="1"/>
          <w:shd w:val="clear" w:color="auto" w:fill="FFFFFF"/>
        </w:rPr>
        <w:t xml:space="preserve">Barrington J. stated (obiter) that </w:t>
      </w:r>
    </w:p>
    <w:p w14:paraId="0CF8490C" w14:textId="2C17147F" w:rsidR="00B31CFB" w:rsidRPr="007D75CF" w:rsidRDefault="00B31CFB" w:rsidP="007D75CF">
      <w:pPr>
        <w:spacing w:line="360" w:lineRule="auto"/>
        <w:jc w:val="both"/>
        <w:rPr>
          <w:rStyle w:val="Emphasis"/>
          <w:rFonts w:ascii="Arial" w:hAnsi="Arial" w:cs="Arial"/>
          <w:i w:val="0"/>
          <w:color w:val="000000"/>
          <w:bdr w:val="none" w:sz="0" w:space="0" w:color="auto" w:frame="1"/>
          <w:shd w:val="clear" w:color="auto" w:fill="FFFFFF"/>
        </w:rPr>
      </w:pPr>
    </w:p>
    <w:p w14:paraId="25A712E5" w14:textId="76E051BC" w:rsidR="00B31CFB" w:rsidRPr="007D75CF" w:rsidRDefault="00B31CFB" w:rsidP="007D75CF">
      <w:pPr>
        <w:spacing w:line="360" w:lineRule="auto"/>
        <w:ind w:left="720"/>
        <w:jc w:val="both"/>
        <w:rPr>
          <w:rFonts w:ascii="Arial" w:hAnsi="Arial" w:cs="Arial"/>
        </w:rPr>
      </w:pPr>
      <w:r w:rsidRPr="007D75CF">
        <w:rPr>
          <w:rStyle w:val="Emphasis"/>
          <w:rFonts w:ascii="Arial" w:hAnsi="Arial" w:cs="Arial"/>
          <w:i w:val="0"/>
          <w:color w:val="000000"/>
          <w:bdr w:val="none" w:sz="0" w:space="0" w:color="auto" w:frame="1"/>
          <w:shd w:val="clear" w:color="auto" w:fill="FFFFFF"/>
        </w:rPr>
        <w:t>“</w:t>
      </w:r>
      <w:r w:rsidRPr="007D75CF">
        <w:rPr>
          <w:rFonts w:ascii="Arial" w:hAnsi="Arial" w:cs="Arial"/>
          <w:color w:val="000000"/>
          <w:shd w:val="clear" w:color="auto" w:fill="FFFFFF"/>
        </w:rPr>
        <w:t>the courts should recognise the contribution the wife makes by her work as a carer and rearer of the family within the home, because it appears to be quite inconsistent with the values in Article 41 in the Constitution that the wife, who leaves the home and has an independent income and is therefore able to make a financial contribution towards the repayment of the family mortgage, might, at the end of the day, be in a very much better position than the wife who fulfils the constitutionally preferred role and remains at home to rear the children. That seems to me to be an inconsistent conclusion and inconsistent with the principles of Article 41. My judgment does not turn on that.”</w:t>
      </w:r>
    </w:p>
    <w:p w14:paraId="0C7A1C63" w14:textId="61212F87" w:rsidR="00B31CFB" w:rsidRPr="007D75CF" w:rsidRDefault="00B31CFB" w:rsidP="007D75CF">
      <w:pPr>
        <w:spacing w:line="360" w:lineRule="auto"/>
        <w:jc w:val="both"/>
        <w:rPr>
          <w:rFonts w:ascii="Arial" w:hAnsi="Arial" w:cs="Arial"/>
        </w:rPr>
      </w:pPr>
    </w:p>
    <w:p w14:paraId="14C4DCFC" w14:textId="2F021553" w:rsidR="00B31CFB" w:rsidRPr="007D75CF" w:rsidRDefault="00B31CFB" w:rsidP="007D75CF">
      <w:pPr>
        <w:spacing w:line="360" w:lineRule="auto"/>
        <w:jc w:val="both"/>
        <w:rPr>
          <w:rFonts w:ascii="Arial" w:hAnsi="Arial" w:cs="Arial"/>
        </w:rPr>
      </w:pPr>
    </w:p>
    <w:p w14:paraId="1CBAFFFF" w14:textId="61429B51" w:rsidR="00BF79DA" w:rsidRDefault="00BF79DA" w:rsidP="007D75CF">
      <w:pPr>
        <w:pStyle w:val="ListParagraph"/>
        <w:numPr>
          <w:ilvl w:val="0"/>
          <w:numId w:val="6"/>
        </w:numPr>
        <w:spacing w:line="360" w:lineRule="auto"/>
        <w:jc w:val="both"/>
        <w:rPr>
          <w:rFonts w:ascii="Arial" w:hAnsi="Arial" w:cs="Arial"/>
          <w:b/>
          <w:color w:val="000000"/>
          <w:shd w:val="clear" w:color="auto" w:fill="FFFFFF"/>
        </w:rPr>
      </w:pPr>
      <w:r>
        <w:rPr>
          <w:rFonts w:ascii="Arial" w:hAnsi="Arial" w:cs="Arial"/>
          <w:b/>
          <w:color w:val="000000"/>
          <w:shd w:val="clear" w:color="auto" w:fill="FFFFFF"/>
        </w:rPr>
        <w:t xml:space="preserve">Dennehy v Minister for Social Welfare, ex tempore unreported judgment of Barron J., </w:t>
      </w:r>
      <w:r w:rsidR="008641A3">
        <w:rPr>
          <w:rFonts w:ascii="Arial" w:hAnsi="Arial" w:cs="Arial"/>
          <w:b/>
          <w:color w:val="000000"/>
          <w:shd w:val="clear" w:color="auto" w:fill="FFFFFF"/>
        </w:rPr>
        <w:t>26 July 1984.</w:t>
      </w:r>
    </w:p>
    <w:p w14:paraId="534D6DE8" w14:textId="39562A21" w:rsidR="008641A3" w:rsidRDefault="008641A3" w:rsidP="008641A3">
      <w:pPr>
        <w:spacing w:line="360" w:lineRule="auto"/>
        <w:jc w:val="both"/>
        <w:rPr>
          <w:rFonts w:ascii="Arial" w:hAnsi="Arial" w:cs="Arial"/>
          <w:b/>
          <w:color w:val="000000"/>
          <w:shd w:val="clear" w:color="auto" w:fill="FFFFFF"/>
        </w:rPr>
      </w:pPr>
    </w:p>
    <w:p w14:paraId="399B05A9" w14:textId="396EB3DD" w:rsidR="008641A3" w:rsidRDefault="008641A3" w:rsidP="008641A3">
      <w:pPr>
        <w:spacing w:line="360" w:lineRule="auto"/>
        <w:jc w:val="both"/>
        <w:rPr>
          <w:rFonts w:ascii="Arial" w:hAnsi="Arial" w:cs="Arial"/>
          <w:color w:val="000000"/>
          <w:shd w:val="clear" w:color="auto" w:fill="FFFFFF"/>
        </w:rPr>
      </w:pPr>
      <w:r w:rsidRPr="008641A3">
        <w:rPr>
          <w:rFonts w:ascii="Arial" w:hAnsi="Arial" w:cs="Arial"/>
          <w:color w:val="000000"/>
          <w:shd w:val="clear" w:color="auto" w:fill="FFFFFF"/>
        </w:rPr>
        <w:t xml:space="preserve">Barron J. accepted the argument of the State, that Article </w:t>
      </w:r>
      <w:r>
        <w:rPr>
          <w:rFonts w:ascii="Arial" w:hAnsi="Arial" w:cs="Arial"/>
          <w:color w:val="000000"/>
          <w:shd w:val="clear" w:color="auto" w:fill="FFFFFF"/>
        </w:rPr>
        <w:t xml:space="preserve">40.1, coupled with Article 41.2, provided a basis for provision of a payment to “deserted wives”, but not to “deserted husbands” . This did not result in unconstitutional discrimination against the applicant who was a deserted husband. There was significant basis, according to </w:t>
      </w:r>
      <w:r>
        <w:rPr>
          <w:rFonts w:ascii="Arial" w:hAnsi="Arial" w:cs="Arial"/>
          <w:color w:val="000000"/>
          <w:shd w:val="clear" w:color="auto" w:fill="FFFFFF"/>
        </w:rPr>
        <w:lastRenderedPageBreak/>
        <w:t xml:space="preserve">Barron J. in law and policy to justify payment to a deserted wife, but not to an equally deserving “deserted husband”. </w:t>
      </w:r>
    </w:p>
    <w:p w14:paraId="66F701AB" w14:textId="77777777" w:rsidR="008641A3" w:rsidRPr="008641A3" w:rsidRDefault="008641A3" w:rsidP="008641A3">
      <w:pPr>
        <w:spacing w:line="360" w:lineRule="auto"/>
        <w:jc w:val="both"/>
        <w:rPr>
          <w:rFonts w:ascii="Arial" w:hAnsi="Arial" w:cs="Arial"/>
          <w:color w:val="000000"/>
          <w:shd w:val="clear" w:color="auto" w:fill="FFFFFF"/>
        </w:rPr>
      </w:pPr>
      <w:bookmarkStart w:id="0" w:name="_GoBack"/>
      <w:bookmarkEnd w:id="0"/>
    </w:p>
    <w:p w14:paraId="4FACB758" w14:textId="485FC2A5" w:rsidR="002E72CF" w:rsidRPr="007D75CF" w:rsidRDefault="002E72CF" w:rsidP="007D75CF">
      <w:pPr>
        <w:pStyle w:val="ListParagraph"/>
        <w:numPr>
          <w:ilvl w:val="0"/>
          <w:numId w:val="6"/>
        </w:numPr>
        <w:spacing w:line="360" w:lineRule="auto"/>
        <w:jc w:val="both"/>
        <w:rPr>
          <w:rFonts w:ascii="Arial" w:hAnsi="Arial" w:cs="Arial"/>
          <w:b/>
          <w:color w:val="000000"/>
          <w:shd w:val="clear" w:color="auto" w:fill="FFFFFF"/>
        </w:rPr>
      </w:pPr>
      <w:r w:rsidRPr="007D75CF">
        <w:rPr>
          <w:rFonts w:ascii="Arial" w:hAnsi="Arial" w:cs="Arial"/>
          <w:b/>
          <w:i/>
          <w:color w:val="000000"/>
          <w:shd w:val="clear" w:color="auto" w:fill="FFFFFF"/>
        </w:rPr>
        <w:t>Muckely v Ireland</w:t>
      </w:r>
      <w:r w:rsidRPr="007D75CF">
        <w:rPr>
          <w:rFonts w:ascii="Arial" w:hAnsi="Arial" w:cs="Arial"/>
          <w:b/>
          <w:color w:val="000000"/>
          <w:shd w:val="clear" w:color="auto" w:fill="FFFFFF"/>
        </w:rPr>
        <w:t xml:space="preserve"> [1985] 1 I.R. 472 (Income tax- unconstitutionality- martial family).</w:t>
      </w:r>
    </w:p>
    <w:p w14:paraId="5492CD7A" w14:textId="1EE1976A" w:rsidR="002E72CF" w:rsidRPr="007D75CF" w:rsidRDefault="002E72CF" w:rsidP="007D75CF">
      <w:pPr>
        <w:spacing w:line="360" w:lineRule="auto"/>
        <w:jc w:val="both"/>
        <w:rPr>
          <w:rFonts w:ascii="Arial" w:hAnsi="Arial" w:cs="Arial"/>
          <w:color w:val="000000"/>
          <w:shd w:val="clear" w:color="auto" w:fill="FFFFFF"/>
        </w:rPr>
      </w:pPr>
    </w:p>
    <w:p w14:paraId="4F7A8C08" w14:textId="2DEDDEC9" w:rsidR="002E72CF" w:rsidRPr="007D75CF" w:rsidRDefault="002E72CF" w:rsidP="007D75CF">
      <w:pPr>
        <w:spacing w:line="360" w:lineRule="auto"/>
        <w:jc w:val="both"/>
        <w:rPr>
          <w:rFonts w:ascii="Arial" w:hAnsi="Arial" w:cs="Arial"/>
          <w:color w:val="000000"/>
          <w:shd w:val="clear" w:color="auto" w:fill="FFFFFF"/>
        </w:rPr>
      </w:pPr>
      <w:r w:rsidRPr="007D75CF">
        <w:rPr>
          <w:rFonts w:ascii="Arial" w:hAnsi="Arial" w:cs="Arial"/>
          <w:color w:val="000000"/>
          <w:shd w:val="clear" w:color="auto" w:fill="FFFFFF"/>
        </w:rPr>
        <w:t xml:space="preserve">Article 41.2. was mentioned in argument but not engaged with by the High Court or Supreme Court. </w:t>
      </w:r>
    </w:p>
    <w:p w14:paraId="198899B1" w14:textId="287CD885" w:rsidR="007D75CF" w:rsidRPr="007D75CF" w:rsidRDefault="007D75CF" w:rsidP="007D75CF">
      <w:pPr>
        <w:spacing w:line="360" w:lineRule="auto"/>
        <w:jc w:val="both"/>
        <w:rPr>
          <w:rFonts w:ascii="Arial" w:hAnsi="Arial" w:cs="Arial"/>
          <w:color w:val="000000"/>
          <w:shd w:val="clear" w:color="auto" w:fill="FFFFFF"/>
        </w:rPr>
      </w:pPr>
    </w:p>
    <w:p w14:paraId="7AE6FD50" w14:textId="48CC3073" w:rsidR="007D75CF" w:rsidRPr="007D75CF" w:rsidRDefault="007D75CF" w:rsidP="007D75CF">
      <w:pPr>
        <w:pStyle w:val="ListParagraph"/>
        <w:numPr>
          <w:ilvl w:val="0"/>
          <w:numId w:val="6"/>
        </w:numPr>
        <w:spacing w:line="360" w:lineRule="auto"/>
        <w:jc w:val="both"/>
        <w:rPr>
          <w:rFonts w:ascii="Arial" w:hAnsi="Arial" w:cs="Arial"/>
          <w:b/>
          <w:color w:val="000000"/>
          <w:shd w:val="clear" w:color="auto" w:fill="FFFFFF"/>
        </w:rPr>
      </w:pPr>
      <w:r w:rsidRPr="007D75CF">
        <w:rPr>
          <w:rFonts w:ascii="Arial" w:hAnsi="Arial" w:cs="Arial"/>
          <w:b/>
          <w:i/>
          <w:color w:val="000000"/>
          <w:shd w:val="clear" w:color="auto" w:fill="FFFFFF"/>
        </w:rPr>
        <w:t>Murphy v Attorney General</w:t>
      </w:r>
      <w:r w:rsidRPr="007D75CF">
        <w:rPr>
          <w:rFonts w:ascii="Arial" w:hAnsi="Arial" w:cs="Arial"/>
          <w:b/>
          <w:color w:val="000000"/>
          <w:shd w:val="clear" w:color="auto" w:fill="FFFFFF"/>
        </w:rPr>
        <w:t xml:space="preserve"> [1982] 1 I.R. 241 (income tax -marital family)</w:t>
      </w:r>
    </w:p>
    <w:p w14:paraId="4444A2C1" w14:textId="1824AF64" w:rsidR="007D75CF" w:rsidRPr="007D75CF" w:rsidRDefault="007D75CF" w:rsidP="007D75CF">
      <w:pPr>
        <w:spacing w:line="360" w:lineRule="auto"/>
        <w:jc w:val="both"/>
        <w:rPr>
          <w:rFonts w:ascii="Arial" w:hAnsi="Arial" w:cs="Arial"/>
          <w:color w:val="000000"/>
          <w:shd w:val="clear" w:color="auto" w:fill="FFFFFF"/>
        </w:rPr>
      </w:pPr>
    </w:p>
    <w:p w14:paraId="52694AAC" w14:textId="3BF5612C" w:rsidR="007D75CF" w:rsidRPr="007D75CF" w:rsidRDefault="007D75CF" w:rsidP="007D75CF">
      <w:pPr>
        <w:spacing w:line="360" w:lineRule="auto"/>
        <w:jc w:val="both"/>
        <w:rPr>
          <w:rFonts w:ascii="Arial" w:hAnsi="Arial" w:cs="Arial"/>
          <w:color w:val="000000"/>
          <w:shd w:val="clear" w:color="auto" w:fill="FFFFFF"/>
        </w:rPr>
      </w:pPr>
      <w:r w:rsidRPr="007D75CF">
        <w:rPr>
          <w:rFonts w:ascii="Arial" w:hAnsi="Arial" w:cs="Arial"/>
          <w:color w:val="000000"/>
          <w:shd w:val="clear" w:color="auto" w:fill="FFFFFF"/>
        </w:rPr>
        <w:t xml:space="preserve">No precise engagement with Article 41.2. </w:t>
      </w:r>
    </w:p>
    <w:p w14:paraId="7DF8DFC0" w14:textId="77777777" w:rsidR="002E72CF" w:rsidRPr="007D75CF" w:rsidRDefault="002E72CF" w:rsidP="007D75CF">
      <w:pPr>
        <w:spacing w:line="360" w:lineRule="auto"/>
        <w:jc w:val="both"/>
        <w:rPr>
          <w:rFonts w:ascii="Arial" w:hAnsi="Arial" w:cs="Arial"/>
        </w:rPr>
      </w:pPr>
    </w:p>
    <w:p w14:paraId="5A467D06" w14:textId="4553A1D6" w:rsidR="0030248F" w:rsidRPr="007D75CF" w:rsidRDefault="0030248F" w:rsidP="007D75CF">
      <w:pPr>
        <w:spacing w:line="360" w:lineRule="auto"/>
        <w:jc w:val="both"/>
        <w:rPr>
          <w:rFonts w:ascii="Arial" w:hAnsi="Arial" w:cs="Arial"/>
          <w:color w:val="000000"/>
          <w:shd w:val="clear" w:color="auto" w:fill="FFFFFF"/>
        </w:rPr>
      </w:pPr>
    </w:p>
    <w:p w14:paraId="49AEB59F" w14:textId="4E7A7C63" w:rsidR="0030248F" w:rsidRPr="007D75CF" w:rsidRDefault="0030248F" w:rsidP="007D75CF">
      <w:pPr>
        <w:spacing w:line="360" w:lineRule="auto"/>
        <w:jc w:val="both"/>
        <w:rPr>
          <w:rFonts w:ascii="Arial" w:hAnsi="Arial" w:cs="Arial"/>
          <w:color w:val="000000"/>
          <w:shd w:val="clear" w:color="auto" w:fill="FFFFFF"/>
        </w:rPr>
      </w:pPr>
    </w:p>
    <w:p w14:paraId="4C02C3D2" w14:textId="75AABD6B" w:rsidR="0030248F" w:rsidRPr="007D75CF" w:rsidRDefault="0030248F" w:rsidP="007D75CF">
      <w:pPr>
        <w:spacing w:line="360" w:lineRule="auto"/>
        <w:jc w:val="center"/>
        <w:rPr>
          <w:rFonts w:ascii="Arial" w:hAnsi="Arial" w:cs="Arial"/>
          <w:b/>
          <w:sz w:val="32"/>
          <w:szCs w:val="32"/>
        </w:rPr>
      </w:pPr>
      <w:r w:rsidRPr="007D75CF">
        <w:rPr>
          <w:rFonts w:ascii="Arial" w:hAnsi="Arial" w:cs="Arial"/>
          <w:b/>
          <w:color w:val="000000"/>
          <w:sz w:val="32"/>
          <w:szCs w:val="32"/>
          <w:shd w:val="clear" w:color="auto" w:fill="FFFFFF"/>
        </w:rPr>
        <w:t>Abortion</w:t>
      </w:r>
    </w:p>
    <w:p w14:paraId="293535C6" w14:textId="3231AF01" w:rsidR="00436380" w:rsidRPr="007D75CF" w:rsidRDefault="00436380" w:rsidP="007D75CF">
      <w:pPr>
        <w:spacing w:line="360" w:lineRule="auto"/>
        <w:jc w:val="both"/>
        <w:rPr>
          <w:rFonts w:ascii="Arial" w:hAnsi="Arial" w:cs="Arial"/>
        </w:rPr>
      </w:pPr>
    </w:p>
    <w:p w14:paraId="37137A07" w14:textId="58CDA580" w:rsidR="0030248F" w:rsidRPr="007D75CF" w:rsidRDefault="0030248F" w:rsidP="007D75CF">
      <w:pPr>
        <w:pStyle w:val="ListParagraph"/>
        <w:numPr>
          <w:ilvl w:val="0"/>
          <w:numId w:val="7"/>
        </w:numPr>
        <w:spacing w:line="360" w:lineRule="auto"/>
        <w:jc w:val="both"/>
        <w:rPr>
          <w:rFonts w:ascii="Arial" w:hAnsi="Arial" w:cs="Arial"/>
          <w:b/>
        </w:rPr>
      </w:pPr>
      <w:r w:rsidRPr="007D75CF">
        <w:rPr>
          <w:rFonts w:ascii="Arial" w:hAnsi="Arial" w:cs="Arial"/>
          <w:b/>
          <w:i/>
        </w:rPr>
        <w:t>In the matter of Article 26 of the Constitution and in the matter of the Regulation of Information (Services out-side the State for Termination of Pregnancies) Bill, 1995</w:t>
      </w:r>
      <w:r w:rsidRPr="007D75CF">
        <w:rPr>
          <w:rFonts w:ascii="Arial" w:hAnsi="Arial" w:cs="Arial"/>
          <w:b/>
        </w:rPr>
        <w:t xml:space="preserve"> [1995] 1 I.R. 1 (abortion information)</w:t>
      </w:r>
    </w:p>
    <w:p w14:paraId="72167A2D" w14:textId="635A0D54" w:rsidR="0030248F" w:rsidRPr="007D75CF" w:rsidRDefault="0030248F" w:rsidP="007D75CF">
      <w:pPr>
        <w:spacing w:line="360" w:lineRule="auto"/>
        <w:jc w:val="both"/>
        <w:rPr>
          <w:rFonts w:ascii="Arial" w:hAnsi="Arial" w:cs="Arial"/>
        </w:rPr>
      </w:pPr>
    </w:p>
    <w:p w14:paraId="705D9337" w14:textId="4F020671" w:rsidR="008A51FD" w:rsidRDefault="0030248F" w:rsidP="007D75CF">
      <w:pPr>
        <w:spacing w:line="360" w:lineRule="auto"/>
        <w:jc w:val="both"/>
        <w:rPr>
          <w:rFonts w:ascii="Arial" w:hAnsi="Arial" w:cs="Arial"/>
        </w:rPr>
      </w:pPr>
      <w:r w:rsidRPr="007D75CF">
        <w:rPr>
          <w:rFonts w:ascii="Arial" w:hAnsi="Arial" w:cs="Arial"/>
        </w:rPr>
        <w:t xml:space="preserve">Cited Article 41.2.1 and Article 41.2.2 but no engagement in the judgment beyond this. </w:t>
      </w:r>
    </w:p>
    <w:p w14:paraId="1BBE0222" w14:textId="63648719" w:rsidR="008A51FD" w:rsidRDefault="008A51FD" w:rsidP="007D75CF">
      <w:pPr>
        <w:spacing w:line="360" w:lineRule="auto"/>
        <w:jc w:val="both"/>
        <w:rPr>
          <w:rFonts w:ascii="Arial" w:hAnsi="Arial" w:cs="Arial"/>
        </w:rPr>
      </w:pPr>
    </w:p>
    <w:p w14:paraId="229FC57E" w14:textId="66682C77" w:rsidR="008A51FD" w:rsidRPr="008A51FD" w:rsidRDefault="008A51FD" w:rsidP="008A51FD">
      <w:pPr>
        <w:spacing w:line="360" w:lineRule="auto"/>
        <w:jc w:val="center"/>
        <w:rPr>
          <w:rFonts w:ascii="Arial" w:hAnsi="Arial" w:cs="Arial"/>
          <w:b/>
          <w:sz w:val="36"/>
          <w:szCs w:val="36"/>
        </w:rPr>
      </w:pPr>
    </w:p>
    <w:p w14:paraId="63A55458" w14:textId="31943752" w:rsidR="008A51FD" w:rsidRDefault="008A51FD" w:rsidP="008A51FD">
      <w:pPr>
        <w:spacing w:line="360" w:lineRule="auto"/>
        <w:jc w:val="center"/>
        <w:rPr>
          <w:rFonts w:ascii="Arial" w:hAnsi="Arial" w:cs="Arial"/>
          <w:b/>
          <w:sz w:val="36"/>
          <w:szCs w:val="36"/>
        </w:rPr>
      </w:pPr>
      <w:r w:rsidRPr="008A51FD">
        <w:rPr>
          <w:rFonts w:ascii="Arial" w:hAnsi="Arial" w:cs="Arial"/>
          <w:b/>
          <w:sz w:val="36"/>
          <w:szCs w:val="36"/>
        </w:rPr>
        <w:t>Immigration Law</w:t>
      </w:r>
    </w:p>
    <w:p w14:paraId="1E1B1B8F" w14:textId="10FCFD77" w:rsidR="008A51FD" w:rsidRPr="008A51FD" w:rsidRDefault="008A51FD" w:rsidP="008A51FD">
      <w:pPr>
        <w:spacing w:line="360" w:lineRule="auto"/>
        <w:rPr>
          <w:rFonts w:ascii="Arial" w:hAnsi="Arial" w:cs="Arial"/>
          <w:b/>
        </w:rPr>
      </w:pPr>
    </w:p>
    <w:p w14:paraId="549480C4" w14:textId="7E08200E" w:rsidR="008A51FD" w:rsidRPr="008A51FD" w:rsidRDefault="008A51FD" w:rsidP="008A51FD">
      <w:pPr>
        <w:pStyle w:val="ListParagraph"/>
        <w:numPr>
          <w:ilvl w:val="0"/>
          <w:numId w:val="8"/>
        </w:numPr>
        <w:spacing w:line="360" w:lineRule="auto"/>
        <w:rPr>
          <w:rFonts w:ascii="Arial" w:hAnsi="Arial" w:cs="Arial"/>
          <w:b/>
        </w:rPr>
      </w:pPr>
      <w:r w:rsidRPr="008A51FD">
        <w:rPr>
          <w:rFonts w:ascii="Arial" w:hAnsi="Arial" w:cs="Arial"/>
          <w:b/>
        </w:rPr>
        <w:t>Danibye Luximon and Prashina Choolun (A Minor Suing by her Mother and Next Friend Danibye Luximon) v The Minister for Justice and Equality [2015] IEHC 227 (20 March 2015) (immigration- Article 8 ECHR- Article 41 Constitution).</w:t>
      </w:r>
    </w:p>
    <w:p w14:paraId="7F7667B1" w14:textId="7C74FE76" w:rsidR="008A51FD" w:rsidRPr="008A51FD" w:rsidRDefault="008A51FD" w:rsidP="008A51FD">
      <w:pPr>
        <w:spacing w:line="360" w:lineRule="auto"/>
        <w:jc w:val="both"/>
        <w:rPr>
          <w:rFonts w:ascii="Arial" w:hAnsi="Arial" w:cs="Arial"/>
        </w:rPr>
      </w:pPr>
    </w:p>
    <w:p w14:paraId="2F52FD2A" w14:textId="4125BBA3" w:rsidR="008A51FD" w:rsidRDefault="008A51FD" w:rsidP="008A51FD">
      <w:pPr>
        <w:spacing w:line="360" w:lineRule="auto"/>
        <w:jc w:val="both"/>
        <w:rPr>
          <w:rFonts w:ascii="Arial" w:hAnsi="Arial" w:cs="Arial"/>
        </w:rPr>
      </w:pPr>
      <w:r w:rsidRPr="008A51FD">
        <w:rPr>
          <w:rFonts w:ascii="Arial" w:hAnsi="Arial" w:cs="Arial"/>
        </w:rPr>
        <w:lastRenderedPageBreak/>
        <w:t>Mention of Article 41.2. but no engagement with its potential impact (if any) on immigration decisions)</w:t>
      </w:r>
    </w:p>
    <w:p w14:paraId="5F9C3261" w14:textId="77777777" w:rsidR="00840FFE" w:rsidRPr="008A51FD" w:rsidRDefault="00840FFE" w:rsidP="008A51FD">
      <w:pPr>
        <w:spacing w:line="360" w:lineRule="auto"/>
        <w:jc w:val="both"/>
        <w:rPr>
          <w:rFonts w:ascii="Arial" w:hAnsi="Arial" w:cs="Arial"/>
        </w:rPr>
      </w:pPr>
    </w:p>
    <w:p w14:paraId="305FD3C2" w14:textId="46DDAC3F" w:rsidR="00840FFE" w:rsidRPr="00840FFE" w:rsidRDefault="00840FFE" w:rsidP="00840FFE">
      <w:pPr>
        <w:pStyle w:val="ListParagraph"/>
        <w:numPr>
          <w:ilvl w:val="0"/>
          <w:numId w:val="8"/>
        </w:numPr>
        <w:shd w:val="clear" w:color="auto" w:fill="FFFFFF"/>
        <w:spacing w:line="360" w:lineRule="auto"/>
        <w:jc w:val="center"/>
        <w:outlineLvl w:val="0"/>
        <w:rPr>
          <w:rFonts w:ascii="Arial" w:hAnsi="Arial" w:cs="Arial"/>
          <w:b/>
          <w:bCs/>
          <w:color w:val="000000"/>
          <w:kern w:val="36"/>
        </w:rPr>
      </w:pPr>
      <w:r w:rsidRPr="00840FFE">
        <w:rPr>
          <w:rFonts w:ascii="Arial" w:hAnsi="Arial" w:cs="Arial"/>
          <w:b/>
          <w:bCs/>
          <w:color w:val="000000"/>
          <w:kern w:val="36"/>
        </w:rPr>
        <w:t>O.O, O.E.O, and O.D.O. C.O. and ESMÉ J (so named for the purposes of this appeal). v The Minister for Justice and Law Reform</w:t>
      </w:r>
      <w:r>
        <w:rPr>
          <w:rFonts w:ascii="Arial" w:hAnsi="Arial" w:cs="Arial"/>
          <w:b/>
          <w:bCs/>
          <w:color w:val="000000"/>
          <w:kern w:val="36"/>
        </w:rPr>
        <w:t xml:space="preserve"> [2015] IESC 26 (rights of grandmother, deportation from state).</w:t>
      </w:r>
    </w:p>
    <w:p w14:paraId="4D6ED552" w14:textId="3B84E638" w:rsidR="00840FFE" w:rsidRDefault="00840FFE" w:rsidP="00840FFE">
      <w:pPr>
        <w:spacing w:line="360" w:lineRule="auto"/>
        <w:jc w:val="both"/>
        <w:rPr>
          <w:rFonts w:ascii="Arial" w:hAnsi="Arial" w:cs="Arial"/>
          <w:lang w:eastAsia="en-GB"/>
        </w:rPr>
      </w:pPr>
    </w:p>
    <w:p w14:paraId="7480B746" w14:textId="249A6F85" w:rsidR="00840FFE" w:rsidRDefault="00840FFE" w:rsidP="00840FFE">
      <w:pPr>
        <w:spacing w:line="360" w:lineRule="auto"/>
        <w:jc w:val="both"/>
        <w:rPr>
          <w:rFonts w:ascii="Arial" w:hAnsi="Arial" w:cs="Arial"/>
          <w:lang w:eastAsia="en-GB"/>
        </w:rPr>
      </w:pPr>
      <w:r>
        <w:rPr>
          <w:rFonts w:ascii="Arial" w:hAnsi="Arial" w:cs="Arial"/>
          <w:lang w:eastAsia="en-GB"/>
        </w:rPr>
        <w:t>In response to arrguments based on Article 41.2., and the role of the non-Irish national grandmother, Charleton J. stated (at para 26):</w:t>
      </w:r>
    </w:p>
    <w:p w14:paraId="53B514A3" w14:textId="64E58A74" w:rsidR="00840FFE" w:rsidRDefault="00840FFE" w:rsidP="00840FFE">
      <w:pPr>
        <w:spacing w:line="360" w:lineRule="auto"/>
        <w:jc w:val="both"/>
        <w:rPr>
          <w:rFonts w:ascii="Arial" w:hAnsi="Arial" w:cs="Arial"/>
          <w:lang w:eastAsia="en-GB"/>
        </w:rPr>
      </w:pPr>
    </w:p>
    <w:p w14:paraId="23607DFA" w14:textId="6182018D" w:rsidR="00840FFE" w:rsidRPr="00840FFE" w:rsidRDefault="00840FFE" w:rsidP="00840FFE">
      <w:pPr>
        <w:spacing w:line="360" w:lineRule="auto"/>
        <w:jc w:val="both"/>
        <w:rPr>
          <w:rFonts w:ascii="Arial" w:hAnsi="Arial" w:cs="Arial"/>
          <w:lang w:eastAsia="en-GB"/>
        </w:rPr>
      </w:pPr>
      <w:r>
        <w:rPr>
          <w:rFonts w:ascii="Arial" w:hAnsi="Arial" w:cs="Arial"/>
          <w:lang w:eastAsia="en-GB"/>
        </w:rPr>
        <w:t>“</w:t>
      </w:r>
      <w:r w:rsidRPr="00840FFE">
        <w:rPr>
          <w:rFonts w:ascii="Arial" w:hAnsi="Arial" w:cs="Arial"/>
          <w:lang w:eastAsia="en-GB"/>
        </w:rPr>
        <w:t>The woman tending to her children within the home is the mother that is referred to in Article 41.2: the rights of grandmothers are not thereby constitutionally protected. The right to educate the child are guaranteed in the text to parents, but are not guaranteed to grandparents. While there is undoubtedly a natural affection and a desire to nurture, while passing on the wisdom of age and experience, between grandparents and their grandchildren, such guarantees as are given in the Constitution are to the mother and father and to their children.</w:t>
      </w:r>
      <w:r>
        <w:rPr>
          <w:rFonts w:ascii="Arial" w:hAnsi="Arial" w:cs="Arial"/>
          <w:lang w:eastAsia="en-GB"/>
        </w:rPr>
        <w:t>”</w:t>
      </w:r>
    </w:p>
    <w:p w14:paraId="063F9196" w14:textId="065B003E" w:rsidR="00BF4DF1" w:rsidRPr="00BF4DF1" w:rsidRDefault="00BF4DF1" w:rsidP="00840FFE">
      <w:pPr>
        <w:spacing w:line="360" w:lineRule="auto"/>
        <w:ind w:left="7200"/>
        <w:rPr>
          <w:rFonts w:ascii="Arial" w:hAnsi="Arial" w:cs="Arial"/>
          <w:b/>
          <w:lang w:eastAsia="en-GB"/>
        </w:rPr>
      </w:pPr>
      <w:r w:rsidRPr="00BF4DF1">
        <w:rPr>
          <w:rFonts w:ascii="Arial" w:hAnsi="Arial" w:cs="Arial"/>
          <w:b/>
          <w:lang w:eastAsia="en-GB"/>
        </w:rPr>
        <w:t>Liam Thornton</w:t>
      </w:r>
    </w:p>
    <w:p w14:paraId="4DCA2D06" w14:textId="0E82528D" w:rsidR="00BF4DF1" w:rsidRPr="00BF4DF1" w:rsidRDefault="00BF4DF1" w:rsidP="00BF4DF1">
      <w:pPr>
        <w:spacing w:line="360" w:lineRule="auto"/>
        <w:jc w:val="right"/>
        <w:rPr>
          <w:rFonts w:ascii="Arial" w:hAnsi="Arial" w:cs="Arial"/>
          <w:b/>
          <w:lang w:eastAsia="en-GB"/>
        </w:rPr>
      </w:pPr>
      <w:r w:rsidRPr="00BF4DF1">
        <w:rPr>
          <w:rFonts w:ascii="Arial" w:hAnsi="Arial" w:cs="Arial"/>
          <w:b/>
          <w:lang w:eastAsia="en-GB"/>
        </w:rPr>
        <w:t>11 July 2018</w:t>
      </w:r>
    </w:p>
    <w:sectPr w:rsidR="00BF4DF1" w:rsidRPr="00BF4DF1" w:rsidSect="005A15BD">
      <w:footerReference w:type="even" r:id="rId9"/>
      <w:footerReference w:type="default" r:id="rId1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D85FC3" w14:textId="77777777" w:rsidR="00B64D9C" w:rsidRDefault="00B64D9C" w:rsidP="00840FFE">
      <w:r>
        <w:separator/>
      </w:r>
    </w:p>
  </w:endnote>
  <w:endnote w:type="continuationSeparator" w:id="0">
    <w:p w14:paraId="79B93384" w14:textId="77777777" w:rsidR="00B64D9C" w:rsidRDefault="00B64D9C" w:rsidP="00840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66033996"/>
      <w:docPartObj>
        <w:docPartGallery w:val="Page Numbers (Bottom of Page)"/>
        <w:docPartUnique/>
      </w:docPartObj>
    </w:sdtPr>
    <w:sdtEndPr>
      <w:rPr>
        <w:rStyle w:val="PageNumber"/>
      </w:rPr>
    </w:sdtEndPr>
    <w:sdtContent>
      <w:p w14:paraId="3CD9F076" w14:textId="3B945FBA" w:rsidR="00840FFE" w:rsidRDefault="00840FFE" w:rsidP="0058093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AB214F0" w14:textId="77777777" w:rsidR="00840FFE" w:rsidRDefault="00840F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8273820"/>
      <w:docPartObj>
        <w:docPartGallery w:val="Page Numbers (Bottom of Page)"/>
        <w:docPartUnique/>
      </w:docPartObj>
    </w:sdtPr>
    <w:sdtEndPr>
      <w:rPr>
        <w:rStyle w:val="PageNumber"/>
      </w:rPr>
    </w:sdtEndPr>
    <w:sdtContent>
      <w:p w14:paraId="38CF6F3A" w14:textId="1C83EB2E" w:rsidR="00840FFE" w:rsidRDefault="00840FFE" w:rsidP="0058093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97B433D" w14:textId="77777777" w:rsidR="00840FFE" w:rsidRDefault="00840F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02F26B" w14:textId="77777777" w:rsidR="00B64D9C" w:rsidRDefault="00B64D9C" w:rsidP="00840FFE">
      <w:r>
        <w:separator/>
      </w:r>
    </w:p>
  </w:footnote>
  <w:footnote w:type="continuationSeparator" w:id="0">
    <w:p w14:paraId="4DC50F77" w14:textId="77777777" w:rsidR="00B64D9C" w:rsidRDefault="00B64D9C" w:rsidP="00840F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52393"/>
    <w:multiLevelType w:val="hybridMultilevel"/>
    <w:tmpl w:val="C3A2AA7C"/>
    <w:lvl w:ilvl="0" w:tplc="5C9EAB6C">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C27F9D"/>
    <w:multiLevelType w:val="hybridMultilevel"/>
    <w:tmpl w:val="323694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B81332"/>
    <w:multiLevelType w:val="hybridMultilevel"/>
    <w:tmpl w:val="BCC8DC30"/>
    <w:lvl w:ilvl="0" w:tplc="D6864DCA">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A86539"/>
    <w:multiLevelType w:val="hybridMultilevel"/>
    <w:tmpl w:val="04548666"/>
    <w:lvl w:ilvl="0" w:tplc="D0A4CC3E">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4F158A"/>
    <w:multiLevelType w:val="hybridMultilevel"/>
    <w:tmpl w:val="5D9CC20C"/>
    <w:lvl w:ilvl="0" w:tplc="2D462344">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525DE5"/>
    <w:multiLevelType w:val="hybridMultilevel"/>
    <w:tmpl w:val="6798C5A8"/>
    <w:lvl w:ilvl="0" w:tplc="6B983548">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2F7476C"/>
    <w:multiLevelType w:val="hybridMultilevel"/>
    <w:tmpl w:val="6E5ACBB4"/>
    <w:lvl w:ilvl="0" w:tplc="55620328">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E007D5"/>
    <w:multiLevelType w:val="multilevel"/>
    <w:tmpl w:val="626E6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3"/>
  </w:num>
  <w:num w:numId="4">
    <w:abstractNumId w:val="0"/>
  </w:num>
  <w:num w:numId="5">
    <w:abstractNumId w:val="4"/>
  </w:num>
  <w:num w:numId="6">
    <w:abstractNumId w:val="6"/>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54FD"/>
    <w:rsid w:val="001B0150"/>
    <w:rsid w:val="002E54FD"/>
    <w:rsid w:val="002E72CF"/>
    <w:rsid w:val="0030248F"/>
    <w:rsid w:val="00302F58"/>
    <w:rsid w:val="003965EC"/>
    <w:rsid w:val="003F6117"/>
    <w:rsid w:val="004317C8"/>
    <w:rsid w:val="00436380"/>
    <w:rsid w:val="0045762C"/>
    <w:rsid w:val="005A15BD"/>
    <w:rsid w:val="006269B3"/>
    <w:rsid w:val="006460EA"/>
    <w:rsid w:val="006F2698"/>
    <w:rsid w:val="0075465C"/>
    <w:rsid w:val="007D75CF"/>
    <w:rsid w:val="008079C7"/>
    <w:rsid w:val="00840FFE"/>
    <w:rsid w:val="008641A3"/>
    <w:rsid w:val="008A51FD"/>
    <w:rsid w:val="009943A0"/>
    <w:rsid w:val="009B5BEE"/>
    <w:rsid w:val="00A37E56"/>
    <w:rsid w:val="00AD2B40"/>
    <w:rsid w:val="00B17CD7"/>
    <w:rsid w:val="00B31CFB"/>
    <w:rsid w:val="00B64D9C"/>
    <w:rsid w:val="00BF4DF1"/>
    <w:rsid w:val="00BF79DA"/>
    <w:rsid w:val="00C15BCF"/>
    <w:rsid w:val="00E3102D"/>
    <w:rsid w:val="00E874FF"/>
    <w:rsid w:val="00EB47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E1F9D0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F2698"/>
    <w:rPr>
      <w:rFonts w:ascii="Times New Roman" w:eastAsia="Times New Roman" w:hAnsi="Times New Roman" w:cs="Times New Roman"/>
      <w:lang w:val="en-IE"/>
    </w:rPr>
  </w:style>
  <w:style w:type="paragraph" w:styleId="Heading1">
    <w:name w:val="heading 1"/>
    <w:basedOn w:val="Normal"/>
    <w:link w:val="Heading1Char"/>
    <w:uiPriority w:val="9"/>
    <w:qFormat/>
    <w:rsid w:val="00840FFE"/>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317C8"/>
    <w:pPr>
      <w:spacing w:before="100" w:beforeAutospacing="1" w:after="100" w:afterAutospacing="1"/>
    </w:pPr>
  </w:style>
  <w:style w:type="character" w:styleId="Emphasis">
    <w:name w:val="Emphasis"/>
    <w:basedOn w:val="DefaultParagraphFont"/>
    <w:uiPriority w:val="20"/>
    <w:qFormat/>
    <w:rsid w:val="00B31CFB"/>
    <w:rPr>
      <w:i/>
      <w:iCs/>
    </w:rPr>
  </w:style>
  <w:style w:type="paragraph" w:styleId="ListParagraph">
    <w:name w:val="List Paragraph"/>
    <w:basedOn w:val="Normal"/>
    <w:uiPriority w:val="34"/>
    <w:qFormat/>
    <w:rsid w:val="007D75CF"/>
    <w:pPr>
      <w:ind w:left="720"/>
      <w:contextualSpacing/>
    </w:pPr>
  </w:style>
  <w:style w:type="character" w:customStyle="1" w:styleId="Heading1Char">
    <w:name w:val="Heading 1 Char"/>
    <w:basedOn w:val="DefaultParagraphFont"/>
    <w:link w:val="Heading1"/>
    <w:uiPriority w:val="9"/>
    <w:rsid w:val="00840FFE"/>
    <w:rPr>
      <w:rFonts w:ascii="Times New Roman" w:eastAsia="Times New Roman" w:hAnsi="Times New Roman" w:cs="Times New Roman"/>
      <w:b/>
      <w:bCs/>
      <w:kern w:val="36"/>
      <w:sz w:val="48"/>
      <w:szCs w:val="48"/>
      <w:lang w:val="en-IE"/>
    </w:rPr>
  </w:style>
  <w:style w:type="paragraph" w:styleId="Footer">
    <w:name w:val="footer"/>
    <w:basedOn w:val="Normal"/>
    <w:link w:val="FooterChar"/>
    <w:uiPriority w:val="99"/>
    <w:unhideWhenUsed/>
    <w:rsid w:val="00840FFE"/>
    <w:pPr>
      <w:tabs>
        <w:tab w:val="center" w:pos="4680"/>
        <w:tab w:val="right" w:pos="9360"/>
      </w:tabs>
    </w:pPr>
  </w:style>
  <w:style w:type="character" w:customStyle="1" w:styleId="FooterChar">
    <w:name w:val="Footer Char"/>
    <w:basedOn w:val="DefaultParagraphFont"/>
    <w:link w:val="Footer"/>
    <w:uiPriority w:val="99"/>
    <w:rsid w:val="00840FFE"/>
    <w:rPr>
      <w:rFonts w:ascii="Times New Roman" w:eastAsia="Times New Roman" w:hAnsi="Times New Roman" w:cs="Times New Roman"/>
      <w:lang w:val="en-IE"/>
    </w:rPr>
  </w:style>
  <w:style w:type="character" w:styleId="PageNumber">
    <w:name w:val="page number"/>
    <w:basedOn w:val="DefaultParagraphFont"/>
    <w:uiPriority w:val="99"/>
    <w:semiHidden/>
    <w:unhideWhenUsed/>
    <w:rsid w:val="00840FFE"/>
  </w:style>
  <w:style w:type="character" w:styleId="Hyperlink">
    <w:name w:val="Hyperlink"/>
    <w:basedOn w:val="DefaultParagraphFont"/>
    <w:uiPriority w:val="99"/>
    <w:unhideWhenUsed/>
    <w:rsid w:val="001B0150"/>
    <w:rPr>
      <w:color w:val="0563C1" w:themeColor="hyperlink"/>
      <w:u w:val="single"/>
    </w:rPr>
  </w:style>
  <w:style w:type="character" w:styleId="UnresolvedMention">
    <w:name w:val="Unresolved Mention"/>
    <w:basedOn w:val="DefaultParagraphFont"/>
    <w:uiPriority w:val="99"/>
    <w:rsid w:val="001B01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06065">
      <w:bodyDiv w:val="1"/>
      <w:marLeft w:val="0"/>
      <w:marRight w:val="0"/>
      <w:marTop w:val="0"/>
      <w:marBottom w:val="0"/>
      <w:divBdr>
        <w:top w:val="none" w:sz="0" w:space="0" w:color="auto"/>
        <w:left w:val="none" w:sz="0" w:space="0" w:color="auto"/>
        <w:bottom w:val="none" w:sz="0" w:space="0" w:color="auto"/>
        <w:right w:val="none" w:sz="0" w:space="0" w:color="auto"/>
      </w:divBdr>
    </w:div>
    <w:div w:id="10378845">
      <w:bodyDiv w:val="1"/>
      <w:marLeft w:val="0"/>
      <w:marRight w:val="0"/>
      <w:marTop w:val="0"/>
      <w:marBottom w:val="0"/>
      <w:divBdr>
        <w:top w:val="none" w:sz="0" w:space="0" w:color="auto"/>
        <w:left w:val="none" w:sz="0" w:space="0" w:color="auto"/>
        <w:bottom w:val="none" w:sz="0" w:space="0" w:color="auto"/>
        <w:right w:val="none" w:sz="0" w:space="0" w:color="auto"/>
      </w:divBdr>
    </w:div>
    <w:div w:id="39669647">
      <w:bodyDiv w:val="1"/>
      <w:marLeft w:val="0"/>
      <w:marRight w:val="0"/>
      <w:marTop w:val="0"/>
      <w:marBottom w:val="0"/>
      <w:divBdr>
        <w:top w:val="none" w:sz="0" w:space="0" w:color="auto"/>
        <w:left w:val="none" w:sz="0" w:space="0" w:color="auto"/>
        <w:bottom w:val="none" w:sz="0" w:space="0" w:color="auto"/>
        <w:right w:val="none" w:sz="0" w:space="0" w:color="auto"/>
      </w:divBdr>
    </w:div>
    <w:div w:id="110559615">
      <w:bodyDiv w:val="1"/>
      <w:marLeft w:val="0"/>
      <w:marRight w:val="0"/>
      <w:marTop w:val="0"/>
      <w:marBottom w:val="0"/>
      <w:divBdr>
        <w:top w:val="none" w:sz="0" w:space="0" w:color="auto"/>
        <w:left w:val="none" w:sz="0" w:space="0" w:color="auto"/>
        <w:bottom w:val="none" w:sz="0" w:space="0" w:color="auto"/>
        <w:right w:val="none" w:sz="0" w:space="0" w:color="auto"/>
      </w:divBdr>
    </w:div>
    <w:div w:id="186454231">
      <w:bodyDiv w:val="1"/>
      <w:marLeft w:val="0"/>
      <w:marRight w:val="0"/>
      <w:marTop w:val="0"/>
      <w:marBottom w:val="0"/>
      <w:divBdr>
        <w:top w:val="none" w:sz="0" w:space="0" w:color="auto"/>
        <w:left w:val="none" w:sz="0" w:space="0" w:color="auto"/>
        <w:bottom w:val="none" w:sz="0" w:space="0" w:color="auto"/>
        <w:right w:val="none" w:sz="0" w:space="0" w:color="auto"/>
      </w:divBdr>
    </w:div>
    <w:div w:id="203718616">
      <w:bodyDiv w:val="1"/>
      <w:marLeft w:val="0"/>
      <w:marRight w:val="0"/>
      <w:marTop w:val="0"/>
      <w:marBottom w:val="0"/>
      <w:divBdr>
        <w:top w:val="none" w:sz="0" w:space="0" w:color="auto"/>
        <w:left w:val="none" w:sz="0" w:space="0" w:color="auto"/>
        <w:bottom w:val="none" w:sz="0" w:space="0" w:color="auto"/>
        <w:right w:val="none" w:sz="0" w:space="0" w:color="auto"/>
      </w:divBdr>
    </w:div>
    <w:div w:id="206727672">
      <w:bodyDiv w:val="1"/>
      <w:marLeft w:val="0"/>
      <w:marRight w:val="0"/>
      <w:marTop w:val="0"/>
      <w:marBottom w:val="0"/>
      <w:divBdr>
        <w:top w:val="none" w:sz="0" w:space="0" w:color="auto"/>
        <w:left w:val="none" w:sz="0" w:space="0" w:color="auto"/>
        <w:bottom w:val="none" w:sz="0" w:space="0" w:color="auto"/>
        <w:right w:val="none" w:sz="0" w:space="0" w:color="auto"/>
      </w:divBdr>
    </w:div>
    <w:div w:id="350299769">
      <w:bodyDiv w:val="1"/>
      <w:marLeft w:val="0"/>
      <w:marRight w:val="0"/>
      <w:marTop w:val="0"/>
      <w:marBottom w:val="0"/>
      <w:divBdr>
        <w:top w:val="none" w:sz="0" w:space="0" w:color="auto"/>
        <w:left w:val="none" w:sz="0" w:space="0" w:color="auto"/>
        <w:bottom w:val="none" w:sz="0" w:space="0" w:color="auto"/>
        <w:right w:val="none" w:sz="0" w:space="0" w:color="auto"/>
      </w:divBdr>
    </w:div>
    <w:div w:id="444085041">
      <w:bodyDiv w:val="1"/>
      <w:marLeft w:val="0"/>
      <w:marRight w:val="0"/>
      <w:marTop w:val="0"/>
      <w:marBottom w:val="0"/>
      <w:divBdr>
        <w:top w:val="none" w:sz="0" w:space="0" w:color="auto"/>
        <w:left w:val="none" w:sz="0" w:space="0" w:color="auto"/>
        <w:bottom w:val="none" w:sz="0" w:space="0" w:color="auto"/>
        <w:right w:val="none" w:sz="0" w:space="0" w:color="auto"/>
      </w:divBdr>
    </w:div>
    <w:div w:id="469130145">
      <w:bodyDiv w:val="1"/>
      <w:marLeft w:val="0"/>
      <w:marRight w:val="0"/>
      <w:marTop w:val="0"/>
      <w:marBottom w:val="0"/>
      <w:divBdr>
        <w:top w:val="none" w:sz="0" w:space="0" w:color="auto"/>
        <w:left w:val="none" w:sz="0" w:space="0" w:color="auto"/>
        <w:bottom w:val="none" w:sz="0" w:space="0" w:color="auto"/>
        <w:right w:val="none" w:sz="0" w:space="0" w:color="auto"/>
      </w:divBdr>
    </w:div>
    <w:div w:id="486020618">
      <w:bodyDiv w:val="1"/>
      <w:marLeft w:val="0"/>
      <w:marRight w:val="0"/>
      <w:marTop w:val="0"/>
      <w:marBottom w:val="0"/>
      <w:divBdr>
        <w:top w:val="none" w:sz="0" w:space="0" w:color="auto"/>
        <w:left w:val="none" w:sz="0" w:space="0" w:color="auto"/>
        <w:bottom w:val="none" w:sz="0" w:space="0" w:color="auto"/>
        <w:right w:val="none" w:sz="0" w:space="0" w:color="auto"/>
      </w:divBdr>
    </w:div>
    <w:div w:id="531654339">
      <w:bodyDiv w:val="1"/>
      <w:marLeft w:val="0"/>
      <w:marRight w:val="0"/>
      <w:marTop w:val="0"/>
      <w:marBottom w:val="0"/>
      <w:divBdr>
        <w:top w:val="none" w:sz="0" w:space="0" w:color="auto"/>
        <w:left w:val="none" w:sz="0" w:space="0" w:color="auto"/>
        <w:bottom w:val="none" w:sz="0" w:space="0" w:color="auto"/>
        <w:right w:val="none" w:sz="0" w:space="0" w:color="auto"/>
      </w:divBdr>
    </w:div>
    <w:div w:id="549073905">
      <w:bodyDiv w:val="1"/>
      <w:marLeft w:val="0"/>
      <w:marRight w:val="0"/>
      <w:marTop w:val="0"/>
      <w:marBottom w:val="0"/>
      <w:divBdr>
        <w:top w:val="none" w:sz="0" w:space="0" w:color="auto"/>
        <w:left w:val="none" w:sz="0" w:space="0" w:color="auto"/>
        <w:bottom w:val="none" w:sz="0" w:space="0" w:color="auto"/>
        <w:right w:val="none" w:sz="0" w:space="0" w:color="auto"/>
      </w:divBdr>
    </w:div>
    <w:div w:id="562255694">
      <w:bodyDiv w:val="1"/>
      <w:marLeft w:val="0"/>
      <w:marRight w:val="0"/>
      <w:marTop w:val="0"/>
      <w:marBottom w:val="0"/>
      <w:divBdr>
        <w:top w:val="none" w:sz="0" w:space="0" w:color="auto"/>
        <w:left w:val="none" w:sz="0" w:space="0" w:color="auto"/>
        <w:bottom w:val="none" w:sz="0" w:space="0" w:color="auto"/>
        <w:right w:val="none" w:sz="0" w:space="0" w:color="auto"/>
      </w:divBdr>
    </w:div>
    <w:div w:id="600261003">
      <w:bodyDiv w:val="1"/>
      <w:marLeft w:val="0"/>
      <w:marRight w:val="0"/>
      <w:marTop w:val="0"/>
      <w:marBottom w:val="0"/>
      <w:divBdr>
        <w:top w:val="none" w:sz="0" w:space="0" w:color="auto"/>
        <w:left w:val="none" w:sz="0" w:space="0" w:color="auto"/>
        <w:bottom w:val="none" w:sz="0" w:space="0" w:color="auto"/>
        <w:right w:val="none" w:sz="0" w:space="0" w:color="auto"/>
      </w:divBdr>
    </w:div>
    <w:div w:id="608314607">
      <w:bodyDiv w:val="1"/>
      <w:marLeft w:val="0"/>
      <w:marRight w:val="0"/>
      <w:marTop w:val="0"/>
      <w:marBottom w:val="0"/>
      <w:divBdr>
        <w:top w:val="none" w:sz="0" w:space="0" w:color="auto"/>
        <w:left w:val="none" w:sz="0" w:space="0" w:color="auto"/>
        <w:bottom w:val="none" w:sz="0" w:space="0" w:color="auto"/>
        <w:right w:val="none" w:sz="0" w:space="0" w:color="auto"/>
      </w:divBdr>
    </w:div>
    <w:div w:id="614293606">
      <w:bodyDiv w:val="1"/>
      <w:marLeft w:val="0"/>
      <w:marRight w:val="0"/>
      <w:marTop w:val="0"/>
      <w:marBottom w:val="0"/>
      <w:divBdr>
        <w:top w:val="none" w:sz="0" w:space="0" w:color="auto"/>
        <w:left w:val="none" w:sz="0" w:space="0" w:color="auto"/>
        <w:bottom w:val="none" w:sz="0" w:space="0" w:color="auto"/>
        <w:right w:val="none" w:sz="0" w:space="0" w:color="auto"/>
      </w:divBdr>
    </w:div>
    <w:div w:id="616562913">
      <w:bodyDiv w:val="1"/>
      <w:marLeft w:val="0"/>
      <w:marRight w:val="0"/>
      <w:marTop w:val="0"/>
      <w:marBottom w:val="0"/>
      <w:divBdr>
        <w:top w:val="none" w:sz="0" w:space="0" w:color="auto"/>
        <w:left w:val="none" w:sz="0" w:space="0" w:color="auto"/>
        <w:bottom w:val="none" w:sz="0" w:space="0" w:color="auto"/>
        <w:right w:val="none" w:sz="0" w:space="0" w:color="auto"/>
      </w:divBdr>
    </w:div>
    <w:div w:id="644775480">
      <w:bodyDiv w:val="1"/>
      <w:marLeft w:val="0"/>
      <w:marRight w:val="0"/>
      <w:marTop w:val="0"/>
      <w:marBottom w:val="0"/>
      <w:divBdr>
        <w:top w:val="none" w:sz="0" w:space="0" w:color="auto"/>
        <w:left w:val="none" w:sz="0" w:space="0" w:color="auto"/>
        <w:bottom w:val="none" w:sz="0" w:space="0" w:color="auto"/>
        <w:right w:val="none" w:sz="0" w:space="0" w:color="auto"/>
      </w:divBdr>
    </w:div>
    <w:div w:id="711423884">
      <w:bodyDiv w:val="1"/>
      <w:marLeft w:val="0"/>
      <w:marRight w:val="0"/>
      <w:marTop w:val="0"/>
      <w:marBottom w:val="0"/>
      <w:divBdr>
        <w:top w:val="none" w:sz="0" w:space="0" w:color="auto"/>
        <w:left w:val="none" w:sz="0" w:space="0" w:color="auto"/>
        <w:bottom w:val="none" w:sz="0" w:space="0" w:color="auto"/>
        <w:right w:val="none" w:sz="0" w:space="0" w:color="auto"/>
      </w:divBdr>
    </w:div>
    <w:div w:id="930118896">
      <w:bodyDiv w:val="1"/>
      <w:marLeft w:val="0"/>
      <w:marRight w:val="0"/>
      <w:marTop w:val="0"/>
      <w:marBottom w:val="0"/>
      <w:divBdr>
        <w:top w:val="none" w:sz="0" w:space="0" w:color="auto"/>
        <w:left w:val="none" w:sz="0" w:space="0" w:color="auto"/>
        <w:bottom w:val="none" w:sz="0" w:space="0" w:color="auto"/>
        <w:right w:val="none" w:sz="0" w:space="0" w:color="auto"/>
      </w:divBdr>
    </w:div>
    <w:div w:id="959414035">
      <w:bodyDiv w:val="1"/>
      <w:marLeft w:val="0"/>
      <w:marRight w:val="0"/>
      <w:marTop w:val="0"/>
      <w:marBottom w:val="0"/>
      <w:divBdr>
        <w:top w:val="none" w:sz="0" w:space="0" w:color="auto"/>
        <w:left w:val="none" w:sz="0" w:space="0" w:color="auto"/>
        <w:bottom w:val="none" w:sz="0" w:space="0" w:color="auto"/>
        <w:right w:val="none" w:sz="0" w:space="0" w:color="auto"/>
      </w:divBdr>
    </w:div>
    <w:div w:id="988942173">
      <w:bodyDiv w:val="1"/>
      <w:marLeft w:val="0"/>
      <w:marRight w:val="0"/>
      <w:marTop w:val="0"/>
      <w:marBottom w:val="0"/>
      <w:divBdr>
        <w:top w:val="none" w:sz="0" w:space="0" w:color="auto"/>
        <w:left w:val="none" w:sz="0" w:space="0" w:color="auto"/>
        <w:bottom w:val="none" w:sz="0" w:space="0" w:color="auto"/>
        <w:right w:val="none" w:sz="0" w:space="0" w:color="auto"/>
      </w:divBdr>
    </w:div>
    <w:div w:id="1008094096">
      <w:bodyDiv w:val="1"/>
      <w:marLeft w:val="0"/>
      <w:marRight w:val="0"/>
      <w:marTop w:val="0"/>
      <w:marBottom w:val="0"/>
      <w:divBdr>
        <w:top w:val="none" w:sz="0" w:space="0" w:color="auto"/>
        <w:left w:val="none" w:sz="0" w:space="0" w:color="auto"/>
        <w:bottom w:val="none" w:sz="0" w:space="0" w:color="auto"/>
        <w:right w:val="none" w:sz="0" w:space="0" w:color="auto"/>
      </w:divBdr>
    </w:div>
    <w:div w:id="1078097851">
      <w:bodyDiv w:val="1"/>
      <w:marLeft w:val="0"/>
      <w:marRight w:val="0"/>
      <w:marTop w:val="0"/>
      <w:marBottom w:val="0"/>
      <w:divBdr>
        <w:top w:val="none" w:sz="0" w:space="0" w:color="auto"/>
        <w:left w:val="none" w:sz="0" w:space="0" w:color="auto"/>
        <w:bottom w:val="none" w:sz="0" w:space="0" w:color="auto"/>
        <w:right w:val="none" w:sz="0" w:space="0" w:color="auto"/>
      </w:divBdr>
    </w:div>
    <w:div w:id="1090659502">
      <w:bodyDiv w:val="1"/>
      <w:marLeft w:val="0"/>
      <w:marRight w:val="0"/>
      <w:marTop w:val="0"/>
      <w:marBottom w:val="0"/>
      <w:divBdr>
        <w:top w:val="none" w:sz="0" w:space="0" w:color="auto"/>
        <w:left w:val="none" w:sz="0" w:space="0" w:color="auto"/>
        <w:bottom w:val="none" w:sz="0" w:space="0" w:color="auto"/>
        <w:right w:val="none" w:sz="0" w:space="0" w:color="auto"/>
      </w:divBdr>
    </w:div>
    <w:div w:id="1109936914">
      <w:bodyDiv w:val="1"/>
      <w:marLeft w:val="0"/>
      <w:marRight w:val="0"/>
      <w:marTop w:val="0"/>
      <w:marBottom w:val="0"/>
      <w:divBdr>
        <w:top w:val="none" w:sz="0" w:space="0" w:color="auto"/>
        <w:left w:val="none" w:sz="0" w:space="0" w:color="auto"/>
        <w:bottom w:val="none" w:sz="0" w:space="0" w:color="auto"/>
        <w:right w:val="none" w:sz="0" w:space="0" w:color="auto"/>
      </w:divBdr>
    </w:div>
    <w:div w:id="1131746712">
      <w:bodyDiv w:val="1"/>
      <w:marLeft w:val="0"/>
      <w:marRight w:val="0"/>
      <w:marTop w:val="0"/>
      <w:marBottom w:val="0"/>
      <w:divBdr>
        <w:top w:val="none" w:sz="0" w:space="0" w:color="auto"/>
        <w:left w:val="none" w:sz="0" w:space="0" w:color="auto"/>
        <w:bottom w:val="none" w:sz="0" w:space="0" w:color="auto"/>
        <w:right w:val="none" w:sz="0" w:space="0" w:color="auto"/>
      </w:divBdr>
    </w:div>
    <w:div w:id="1152795774">
      <w:bodyDiv w:val="1"/>
      <w:marLeft w:val="0"/>
      <w:marRight w:val="0"/>
      <w:marTop w:val="0"/>
      <w:marBottom w:val="0"/>
      <w:divBdr>
        <w:top w:val="none" w:sz="0" w:space="0" w:color="auto"/>
        <w:left w:val="none" w:sz="0" w:space="0" w:color="auto"/>
        <w:bottom w:val="none" w:sz="0" w:space="0" w:color="auto"/>
        <w:right w:val="none" w:sz="0" w:space="0" w:color="auto"/>
      </w:divBdr>
    </w:div>
    <w:div w:id="1161628357">
      <w:bodyDiv w:val="1"/>
      <w:marLeft w:val="0"/>
      <w:marRight w:val="0"/>
      <w:marTop w:val="0"/>
      <w:marBottom w:val="0"/>
      <w:divBdr>
        <w:top w:val="none" w:sz="0" w:space="0" w:color="auto"/>
        <w:left w:val="none" w:sz="0" w:space="0" w:color="auto"/>
        <w:bottom w:val="none" w:sz="0" w:space="0" w:color="auto"/>
        <w:right w:val="none" w:sz="0" w:space="0" w:color="auto"/>
      </w:divBdr>
    </w:div>
    <w:div w:id="1192036931">
      <w:bodyDiv w:val="1"/>
      <w:marLeft w:val="0"/>
      <w:marRight w:val="0"/>
      <w:marTop w:val="0"/>
      <w:marBottom w:val="0"/>
      <w:divBdr>
        <w:top w:val="none" w:sz="0" w:space="0" w:color="auto"/>
        <w:left w:val="none" w:sz="0" w:space="0" w:color="auto"/>
        <w:bottom w:val="none" w:sz="0" w:space="0" w:color="auto"/>
        <w:right w:val="none" w:sz="0" w:space="0" w:color="auto"/>
      </w:divBdr>
    </w:div>
    <w:div w:id="1211651756">
      <w:bodyDiv w:val="1"/>
      <w:marLeft w:val="0"/>
      <w:marRight w:val="0"/>
      <w:marTop w:val="0"/>
      <w:marBottom w:val="0"/>
      <w:divBdr>
        <w:top w:val="none" w:sz="0" w:space="0" w:color="auto"/>
        <w:left w:val="none" w:sz="0" w:space="0" w:color="auto"/>
        <w:bottom w:val="none" w:sz="0" w:space="0" w:color="auto"/>
        <w:right w:val="none" w:sz="0" w:space="0" w:color="auto"/>
      </w:divBdr>
    </w:div>
    <w:div w:id="1522619555">
      <w:bodyDiv w:val="1"/>
      <w:marLeft w:val="0"/>
      <w:marRight w:val="0"/>
      <w:marTop w:val="0"/>
      <w:marBottom w:val="0"/>
      <w:divBdr>
        <w:top w:val="none" w:sz="0" w:space="0" w:color="auto"/>
        <w:left w:val="none" w:sz="0" w:space="0" w:color="auto"/>
        <w:bottom w:val="none" w:sz="0" w:space="0" w:color="auto"/>
        <w:right w:val="none" w:sz="0" w:space="0" w:color="auto"/>
      </w:divBdr>
    </w:div>
    <w:div w:id="1583687246">
      <w:bodyDiv w:val="1"/>
      <w:marLeft w:val="0"/>
      <w:marRight w:val="0"/>
      <w:marTop w:val="0"/>
      <w:marBottom w:val="0"/>
      <w:divBdr>
        <w:top w:val="none" w:sz="0" w:space="0" w:color="auto"/>
        <w:left w:val="none" w:sz="0" w:space="0" w:color="auto"/>
        <w:bottom w:val="none" w:sz="0" w:space="0" w:color="auto"/>
        <w:right w:val="none" w:sz="0" w:space="0" w:color="auto"/>
      </w:divBdr>
    </w:div>
    <w:div w:id="1614901938">
      <w:bodyDiv w:val="1"/>
      <w:marLeft w:val="0"/>
      <w:marRight w:val="0"/>
      <w:marTop w:val="0"/>
      <w:marBottom w:val="0"/>
      <w:divBdr>
        <w:top w:val="none" w:sz="0" w:space="0" w:color="auto"/>
        <w:left w:val="none" w:sz="0" w:space="0" w:color="auto"/>
        <w:bottom w:val="none" w:sz="0" w:space="0" w:color="auto"/>
        <w:right w:val="none" w:sz="0" w:space="0" w:color="auto"/>
      </w:divBdr>
    </w:div>
    <w:div w:id="1698966345">
      <w:bodyDiv w:val="1"/>
      <w:marLeft w:val="0"/>
      <w:marRight w:val="0"/>
      <w:marTop w:val="0"/>
      <w:marBottom w:val="0"/>
      <w:divBdr>
        <w:top w:val="none" w:sz="0" w:space="0" w:color="auto"/>
        <w:left w:val="none" w:sz="0" w:space="0" w:color="auto"/>
        <w:bottom w:val="none" w:sz="0" w:space="0" w:color="auto"/>
        <w:right w:val="none" w:sz="0" w:space="0" w:color="auto"/>
      </w:divBdr>
    </w:div>
    <w:div w:id="1700275821">
      <w:bodyDiv w:val="1"/>
      <w:marLeft w:val="0"/>
      <w:marRight w:val="0"/>
      <w:marTop w:val="0"/>
      <w:marBottom w:val="0"/>
      <w:divBdr>
        <w:top w:val="none" w:sz="0" w:space="0" w:color="auto"/>
        <w:left w:val="none" w:sz="0" w:space="0" w:color="auto"/>
        <w:bottom w:val="none" w:sz="0" w:space="0" w:color="auto"/>
        <w:right w:val="none" w:sz="0" w:space="0" w:color="auto"/>
      </w:divBdr>
    </w:div>
    <w:div w:id="1750619012">
      <w:bodyDiv w:val="1"/>
      <w:marLeft w:val="0"/>
      <w:marRight w:val="0"/>
      <w:marTop w:val="0"/>
      <w:marBottom w:val="0"/>
      <w:divBdr>
        <w:top w:val="none" w:sz="0" w:space="0" w:color="auto"/>
        <w:left w:val="none" w:sz="0" w:space="0" w:color="auto"/>
        <w:bottom w:val="none" w:sz="0" w:space="0" w:color="auto"/>
        <w:right w:val="none" w:sz="0" w:space="0" w:color="auto"/>
      </w:divBdr>
    </w:div>
    <w:div w:id="1854807879">
      <w:bodyDiv w:val="1"/>
      <w:marLeft w:val="0"/>
      <w:marRight w:val="0"/>
      <w:marTop w:val="0"/>
      <w:marBottom w:val="0"/>
      <w:divBdr>
        <w:top w:val="none" w:sz="0" w:space="0" w:color="auto"/>
        <w:left w:val="none" w:sz="0" w:space="0" w:color="auto"/>
        <w:bottom w:val="none" w:sz="0" w:space="0" w:color="auto"/>
        <w:right w:val="none" w:sz="0" w:space="0" w:color="auto"/>
      </w:divBdr>
    </w:div>
    <w:div w:id="1894809290">
      <w:bodyDiv w:val="1"/>
      <w:marLeft w:val="0"/>
      <w:marRight w:val="0"/>
      <w:marTop w:val="0"/>
      <w:marBottom w:val="0"/>
      <w:divBdr>
        <w:top w:val="none" w:sz="0" w:space="0" w:color="auto"/>
        <w:left w:val="none" w:sz="0" w:space="0" w:color="auto"/>
        <w:bottom w:val="none" w:sz="0" w:space="0" w:color="auto"/>
        <w:right w:val="none" w:sz="0" w:space="0" w:color="auto"/>
      </w:divBdr>
    </w:div>
    <w:div w:id="1918204649">
      <w:bodyDiv w:val="1"/>
      <w:marLeft w:val="0"/>
      <w:marRight w:val="0"/>
      <w:marTop w:val="0"/>
      <w:marBottom w:val="0"/>
      <w:divBdr>
        <w:top w:val="none" w:sz="0" w:space="0" w:color="auto"/>
        <w:left w:val="none" w:sz="0" w:space="0" w:color="auto"/>
        <w:bottom w:val="none" w:sz="0" w:space="0" w:color="auto"/>
        <w:right w:val="none" w:sz="0" w:space="0" w:color="auto"/>
      </w:divBdr>
    </w:div>
    <w:div w:id="1942371981">
      <w:bodyDiv w:val="1"/>
      <w:marLeft w:val="0"/>
      <w:marRight w:val="0"/>
      <w:marTop w:val="0"/>
      <w:marBottom w:val="0"/>
      <w:divBdr>
        <w:top w:val="none" w:sz="0" w:space="0" w:color="auto"/>
        <w:left w:val="none" w:sz="0" w:space="0" w:color="auto"/>
        <w:bottom w:val="none" w:sz="0" w:space="0" w:color="auto"/>
        <w:right w:val="none" w:sz="0" w:space="0" w:color="auto"/>
      </w:divBdr>
    </w:div>
    <w:div w:id="1988242371">
      <w:bodyDiv w:val="1"/>
      <w:marLeft w:val="0"/>
      <w:marRight w:val="0"/>
      <w:marTop w:val="0"/>
      <w:marBottom w:val="0"/>
      <w:divBdr>
        <w:top w:val="none" w:sz="0" w:space="0" w:color="auto"/>
        <w:left w:val="none" w:sz="0" w:space="0" w:color="auto"/>
        <w:bottom w:val="none" w:sz="0" w:space="0" w:color="auto"/>
        <w:right w:val="none" w:sz="0" w:space="0" w:color="auto"/>
      </w:divBdr>
    </w:div>
    <w:div w:id="2020038169">
      <w:bodyDiv w:val="1"/>
      <w:marLeft w:val="0"/>
      <w:marRight w:val="0"/>
      <w:marTop w:val="0"/>
      <w:marBottom w:val="0"/>
      <w:divBdr>
        <w:top w:val="none" w:sz="0" w:space="0" w:color="auto"/>
        <w:left w:val="none" w:sz="0" w:space="0" w:color="auto"/>
        <w:bottom w:val="none" w:sz="0" w:space="0" w:color="auto"/>
        <w:right w:val="none" w:sz="0" w:space="0" w:color="auto"/>
      </w:divBdr>
    </w:div>
    <w:div w:id="2031028425">
      <w:bodyDiv w:val="1"/>
      <w:marLeft w:val="0"/>
      <w:marRight w:val="0"/>
      <w:marTop w:val="0"/>
      <w:marBottom w:val="0"/>
      <w:divBdr>
        <w:top w:val="none" w:sz="0" w:space="0" w:color="auto"/>
        <w:left w:val="none" w:sz="0" w:space="0" w:color="auto"/>
        <w:bottom w:val="none" w:sz="0" w:space="0" w:color="auto"/>
        <w:right w:val="none" w:sz="0" w:space="0" w:color="auto"/>
      </w:divBdr>
    </w:div>
    <w:div w:id="2041658215">
      <w:bodyDiv w:val="1"/>
      <w:marLeft w:val="0"/>
      <w:marRight w:val="0"/>
      <w:marTop w:val="0"/>
      <w:marBottom w:val="0"/>
      <w:divBdr>
        <w:top w:val="none" w:sz="0" w:space="0" w:color="auto"/>
        <w:left w:val="none" w:sz="0" w:space="0" w:color="auto"/>
        <w:bottom w:val="none" w:sz="0" w:space="0" w:color="auto"/>
        <w:right w:val="none" w:sz="0" w:space="0" w:color="auto"/>
      </w:divBdr>
    </w:div>
    <w:div w:id="2046631961">
      <w:bodyDiv w:val="1"/>
      <w:marLeft w:val="0"/>
      <w:marRight w:val="0"/>
      <w:marTop w:val="0"/>
      <w:marBottom w:val="0"/>
      <w:divBdr>
        <w:top w:val="none" w:sz="0" w:space="0" w:color="auto"/>
        <w:left w:val="none" w:sz="0" w:space="0" w:color="auto"/>
        <w:bottom w:val="none" w:sz="0" w:space="0" w:color="auto"/>
        <w:right w:val="none" w:sz="0" w:space="0" w:color="auto"/>
      </w:divBdr>
    </w:div>
    <w:div w:id="2060474333">
      <w:bodyDiv w:val="1"/>
      <w:marLeft w:val="0"/>
      <w:marRight w:val="0"/>
      <w:marTop w:val="0"/>
      <w:marBottom w:val="0"/>
      <w:divBdr>
        <w:top w:val="none" w:sz="0" w:space="0" w:color="auto"/>
        <w:left w:val="none" w:sz="0" w:space="0" w:color="auto"/>
        <w:bottom w:val="none" w:sz="0" w:space="0" w:color="auto"/>
        <w:right w:val="none" w:sz="0" w:space="0" w:color="auto"/>
      </w:divBdr>
    </w:div>
    <w:div w:id="214172752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oomsburyprofessional.com/uk/northern-irish-feminist-judgments-9781509908936/" TargetMode="External"/><Relationship Id="rId3" Type="http://schemas.openxmlformats.org/officeDocument/2006/relationships/settings" Target="settings.xml"/><Relationship Id="rId7" Type="http://schemas.openxmlformats.org/officeDocument/2006/relationships/hyperlink" Target="https://papers.ssrn.com/sol3/papers.cfm?abstract_id=2705448"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12</Pages>
  <Words>2808</Words>
  <Characters>16008</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Thornton</dc:creator>
  <cp:keywords/>
  <dc:description/>
  <cp:lastModifiedBy>Liam Thornton</cp:lastModifiedBy>
  <cp:revision>6</cp:revision>
  <dcterms:created xsi:type="dcterms:W3CDTF">2018-07-11T08:28:00Z</dcterms:created>
  <dcterms:modified xsi:type="dcterms:W3CDTF">2018-07-11T17:04:00Z</dcterms:modified>
</cp:coreProperties>
</file>